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Lines="100" w:line="7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平阳县腾蛟镇青湾村A-03地块</w:t>
      </w:r>
    </w:p>
    <w:p>
      <w:pPr>
        <w:pStyle w:val="2"/>
        <w:spacing w:beforeLines="100" w:line="700" w:lineRule="exact"/>
        <w:jc w:val="center"/>
        <w:rPr>
          <w:rFonts w:hint="eastAsia" w:hAnsi="宋体"/>
          <w:b/>
          <w:sz w:val="44"/>
          <w:szCs w:val="44"/>
        </w:rPr>
      </w:pPr>
      <w:r>
        <w:rPr>
          <w:rFonts w:hint="eastAsia" w:hAnsi="宋体"/>
          <w:b/>
          <w:sz w:val="44"/>
          <w:szCs w:val="44"/>
        </w:rPr>
        <w:t>规划设计要点</w:t>
      </w:r>
    </w:p>
    <w:p>
      <w:pPr>
        <w:pStyle w:val="2"/>
        <w:spacing w:beforeLines="100" w:line="600" w:lineRule="exact"/>
        <w:ind w:firstLine="640" w:firstLineChars="200"/>
        <w:rPr>
          <w:rFonts w:hint="eastAsia" w:ascii="仿宋_GB2312" w:hAnsi="宋体" w:eastAsia="仿宋_GB2312"/>
          <w:b/>
          <w:bCs/>
          <w:sz w:val="32"/>
          <w:szCs w:val="32"/>
        </w:rPr>
      </w:pPr>
      <w:r>
        <w:rPr>
          <w:rFonts w:hint="eastAsia" w:ascii="仿宋_GB2312" w:hAnsi="宋体" w:eastAsia="仿宋_GB2312"/>
          <w:sz w:val="32"/>
          <w:szCs w:val="32"/>
        </w:rPr>
        <w:t>根据《平阳县腾蛟镇青湾村村庄规划》，出具腾蛟镇青湾村A-03地块规划设计要点如下。</w:t>
      </w:r>
    </w:p>
    <w:tbl>
      <w:tblPr>
        <w:tblStyle w:val="4"/>
        <w:tblW w:w="91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8"/>
        <w:gridCol w:w="270"/>
        <w:gridCol w:w="107"/>
        <w:gridCol w:w="856"/>
        <w:gridCol w:w="11"/>
        <w:gridCol w:w="89"/>
        <w:gridCol w:w="287"/>
        <w:gridCol w:w="1141"/>
        <w:gridCol w:w="1400"/>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18" w:type="dxa"/>
            <w:gridSpan w:val="7"/>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地块位置</w:t>
            </w:r>
          </w:p>
        </w:tc>
        <w:tc>
          <w:tcPr>
            <w:tcW w:w="6921" w:type="dxa"/>
            <w:gridSpan w:val="3"/>
          </w:tcPr>
          <w:p>
            <w:pPr>
              <w:pStyle w:val="2"/>
              <w:spacing w:line="400" w:lineRule="exact"/>
              <w:rPr>
                <w:rFonts w:ascii="Times New Roman" w:hAnsi="Times New Roman" w:eastAsia="仿宋_GB2312"/>
                <w:b/>
                <w:bCs/>
                <w:sz w:val="32"/>
                <w:szCs w:val="32"/>
              </w:rPr>
            </w:pPr>
            <w:r>
              <w:rPr>
                <w:rFonts w:hint="eastAsia" w:ascii="仿宋_GB2312" w:hAnsi="宋体" w:eastAsia="仿宋_GB2312"/>
                <w:sz w:val="32"/>
                <w:szCs w:val="32"/>
              </w:rPr>
              <w:t>A-03地块（平阳县第二职业学校迁建工程）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用地性质</w:t>
            </w:r>
          </w:p>
        </w:tc>
        <w:tc>
          <w:tcPr>
            <w:tcW w:w="6921" w:type="dxa"/>
            <w:gridSpan w:val="3"/>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教育用地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2218" w:type="dxa"/>
            <w:gridSpan w:val="7"/>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用地兼容性</w:t>
            </w:r>
          </w:p>
        </w:tc>
        <w:tc>
          <w:tcPr>
            <w:tcW w:w="6921" w:type="dxa"/>
            <w:gridSpan w:val="3"/>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用地面积</w:t>
            </w:r>
          </w:p>
        </w:tc>
        <w:tc>
          <w:tcPr>
            <w:tcW w:w="6921" w:type="dxa"/>
            <w:gridSpan w:val="3"/>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100428平方米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容积率</w:t>
            </w:r>
          </w:p>
        </w:tc>
        <w:tc>
          <w:tcPr>
            <w:tcW w:w="6921" w:type="dxa"/>
            <w:gridSpan w:val="3"/>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1.0-2.5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建筑密度</w:t>
            </w:r>
          </w:p>
        </w:tc>
        <w:tc>
          <w:tcPr>
            <w:tcW w:w="6921" w:type="dxa"/>
            <w:gridSpan w:val="3"/>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绿地率</w:t>
            </w:r>
          </w:p>
        </w:tc>
        <w:tc>
          <w:tcPr>
            <w:tcW w:w="6921" w:type="dxa"/>
            <w:gridSpan w:val="3"/>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建筑高度</w:t>
            </w:r>
          </w:p>
        </w:tc>
        <w:tc>
          <w:tcPr>
            <w:tcW w:w="6921" w:type="dxa"/>
            <w:gridSpan w:val="3"/>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≤50米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218" w:type="dxa"/>
            <w:gridSpan w:val="7"/>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地上建筑面积</w:t>
            </w:r>
          </w:p>
        </w:tc>
        <w:tc>
          <w:tcPr>
            <w:tcW w:w="6921" w:type="dxa"/>
            <w:gridSpan w:val="3"/>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100428平方米-251070平方米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868" w:type="dxa"/>
            <w:gridSpan w:val="2"/>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竖向标高</w:t>
            </w:r>
          </w:p>
        </w:tc>
        <w:tc>
          <w:tcPr>
            <w:tcW w:w="8271" w:type="dxa"/>
            <w:gridSpan w:val="8"/>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不宜超过相邻地块现状标高和周边道路中心标高平均值加上0.3m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31" w:type="dxa"/>
            <w:gridSpan w:val="6"/>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车行出入口</w:t>
            </w:r>
          </w:p>
        </w:tc>
        <w:tc>
          <w:tcPr>
            <w:tcW w:w="7208" w:type="dxa"/>
            <w:gridSpan w:val="4"/>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南侧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8" w:type="dxa"/>
            <w:gridSpan w:val="2"/>
            <w:vMerge w:val="restart"/>
          </w:tcPr>
          <w:p>
            <w:pPr>
              <w:pStyle w:val="2"/>
              <w:spacing w:line="400" w:lineRule="exact"/>
              <w:rPr>
                <w:rFonts w:ascii="Times New Roman" w:hAnsi="Times New Roman" w:eastAsia="仿宋_GB2312"/>
                <w:sz w:val="32"/>
                <w:szCs w:val="32"/>
              </w:rPr>
            </w:pPr>
            <w:r>
              <w:rPr>
                <w:rFonts w:hint="eastAsia" w:ascii="Times New Roman" w:hAnsi="Times New Roman" w:eastAsia="仿宋_GB2312"/>
                <w:b/>
                <w:bCs/>
                <w:sz w:val="32"/>
                <w:szCs w:val="32"/>
              </w:rPr>
              <w:t>建筑后退</w:t>
            </w:r>
          </w:p>
        </w:tc>
        <w:tc>
          <w:tcPr>
            <w:tcW w:w="2491" w:type="dxa"/>
            <w:gridSpan w:val="6"/>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东（临农林用地）</w:t>
            </w:r>
          </w:p>
        </w:tc>
        <w:tc>
          <w:tcPr>
            <w:tcW w:w="5780" w:type="dxa"/>
            <w:gridSpan w:val="2"/>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低多层≥3.0米（高层≥6.0米）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8" w:type="dxa"/>
            <w:gridSpan w:val="2"/>
            <w:vMerge w:val="continue"/>
          </w:tcPr>
          <w:p>
            <w:pPr>
              <w:pStyle w:val="2"/>
              <w:spacing w:line="400" w:lineRule="exact"/>
            </w:pPr>
          </w:p>
        </w:tc>
        <w:tc>
          <w:tcPr>
            <w:tcW w:w="2491" w:type="dxa"/>
            <w:gridSpan w:val="6"/>
          </w:tcPr>
          <w:p>
            <w:pPr>
              <w:pStyle w:val="2"/>
              <w:spacing w:line="400" w:lineRule="exact"/>
              <w:rPr>
                <w:rFonts w:hint="eastAsia"/>
              </w:rPr>
            </w:pPr>
            <w:r>
              <w:rPr>
                <w:rFonts w:hint="eastAsia" w:ascii="Times New Roman" w:hAnsi="Times New Roman" w:eastAsia="仿宋_GB2312"/>
                <w:sz w:val="32"/>
                <w:szCs w:val="32"/>
              </w:rPr>
              <w:t>西（临农林用地）</w:t>
            </w:r>
          </w:p>
        </w:tc>
        <w:tc>
          <w:tcPr>
            <w:tcW w:w="5780" w:type="dxa"/>
            <w:gridSpan w:val="2"/>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低多层≥3.0米（高层≥6.0米）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8" w:type="dxa"/>
            <w:gridSpan w:val="2"/>
            <w:vMerge w:val="continue"/>
          </w:tcPr>
          <w:p>
            <w:pPr>
              <w:pStyle w:val="2"/>
              <w:spacing w:line="400" w:lineRule="exact"/>
              <w:rPr>
                <w:rFonts w:hint="eastAsia" w:ascii="Times New Roman" w:hAnsi="Times New Roman" w:eastAsia="仿宋_GB2312"/>
                <w:sz w:val="32"/>
                <w:szCs w:val="32"/>
              </w:rPr>
            </w:pPr>
          </w:p>
        </w:tc>
        <w:tc>
          <w:tcPr>
            <w:tcW w:w="2491" w:type="dxa"/>
            <w:gridSpan w:val="6"/>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南（临经二路）</w:t>
            </w:r>
          </w:p>
        </w:tc>
        <w:tc>
          <w:tcPr>
            <w:tcW w:w="5780" w:type="dxa"/>
            <w:gridSpan w:val="2"/>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低多层≥3.0米（高层≥6.0米）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8" w:type="dxa"/>
            <w:gridSpan w:val="2"/>
            <w:vMerge w:val="continue"/>
          </w:tcPr>
          <w:p>
            <w:pPr>
              <w:pStyle w:val="2"/>
              <w:spacing w:line="400" w:lineRule="exact"/>
              <w:rPr>
                <w:rFonts w:hint="eastAsia" w:ascii="Times New Roman" w:hAnsi="Times New Roman" w:eastAsia="仿宋_GB2312"/>
                <w:sz w:val="32"/>
                <w:szCs w:val="32"/>
              </w:rPr>
            </w:pPr>
          </w:p>
        </w:tc>
        <w:tc>
          <w:tcPr>
            <w:tcW w:w="2491" w:type="dxa"/>
            <w:gridSpan w:val="6"/>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北（临农林用地）</w:t>
            </w:r>
          </w:p>
        </w:tc>
        <w:tc>
          <w:tcPr>
            <w:tcW w:w="5780" w:type="dxa"/>
            <w:gridSpan w:val="2"/>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低多层≥3.0米（高层≥6.0米）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98" w:type="dxa"/>
            <w:vMerge w:val="restart"/>
          </w:tcPr>
          <w:p>
            <w:pPr>
              <w:pStyle w:val="2"/>
              <w:spacing w:line="400" w:lineRule="exact"/>
              <w:rPr>
                <w:rFonts w:hint="eastAsia" w:ascii="Times New Roman" w:hAnsi="Times New Roman" w:eastAsia="仿宋_GB2312"/>
                <w:b/>
                <w:bCs/>
                <w:sz w:val="32"/>
                <w:szCs w:val="32"/>
              </w:rPr>
            </w:pPr>
            <w:r>
              <w:rPr>
                <w:rFonts w:hint="eastAsia" w:ascii="Times New Roman" w:hAnsi="Times New Roman" w:eastAsia="仿宋_GB2312"/>
                <w:b/>
                <w:bCs/>
                <w:sz w:val="32"/>
                <w:szCs w:val="32"/>
              </w:rPr>
              <w:t>停车配置</w:t>
            </w:r>
          </w:p>
        </w:tc>
        <w:tc>
          <w:tcPr>
            <w:tcW w:w="1233" w:type="dxa"/>
            <w:gridSpan w:val="3"/>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停车位</w:t>
            </w:r>
          </w:p>
        </w:tc>
        <w:tc>
          <w:tcPr>
            <w:tcW w:w="7308" w:type="dxa"/>
            <w:gridSpan w:val="6"/>
          </w:tcPr>
          <w:p>
            <w:pPr>
              <w:pStyle w:val="2"/>
              <w:spacing w:line="400" w:lineRule="exact"/>
              <w:rPr>
                <w:rFonts w:hint="eastAsia" w:ascii="Times New Roman" w:hAnsi="Times New Roman" w:eastAsia="仿宋_GB2312"/>
                <w:sz w:val="32"/>
                <w:szCs w:val="32"/>
              </w:rPr>
            </w:pPr>
            <w:bookmarkStart w:id="0" w:name="_GoBack"/>
            <w:r>
              <w:rPr>
                <w:rFonts w:hint="eastAsia" w:ascii="Times New Roman" w:hAnsi="Times New Roman" w:eastAsia="仿宋_GB2312"/>
                <w:sz w:val="32"/>
                <w:szCs w:val="32"/>
              </w:rPr>
              <w:t>《城市建筑工程停车场（库）设置规则和配建标准》DB33/1021-2013</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98" w:type="dxa"/>
            <w:vMerge w:val="continue"/>
          </w:tcPr>
          <w:p>
            <w:pPr>
              <w:pStyle w:val="2"/>
              <w:spacing w:line="400" w:lineRule="exact"/>
              <w:rPr>
                <w:rFonts w:hint="eastAsia" w:ascii="Times New Roman" w:hAnsi="Times New Roman" w:eastAsia="仿宋_GB2312"/>
                <w:b/>
                <w:bCs/>
                <w:sz w:val="32"/>
                <w:szCs w:val="32"/>
              </w:rPr>
            </w:pPr>
          </w:p>
        </w:tc>
        <w:tc>
          <w:tcPr>
            <w:tcW w:w="1233" w:type="dxa"/>
            <w:gridSpan w:val="3"/>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充电位</w:t>
            </w:r>
          </w:p>
        </w:tc>
        <w:tc>
          <w:tcPr>
            <w:tcW w:w="7308" w:type="dxa"/>
            <w:gridSpan w:val="6"/>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《住房城乡建设部关于加强城市电动汽车充电设施规划建设工作的通知》（建规〔2015〕199号）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98" w:type="dxa"/>
            <w:vMerge w:val="restart"/>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配套设施</w:t>
            </w:r>
          </w:p>
        </w:tc>
        <w:tc>
          <w:tcPr>
            <w:tcW w:w="1233" w:type="dxa"/>
            <w:gridSpan w:val="3"/>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物业管理用房</w:t>
            </w:r>
          </w:p>
        </w:tc>
        <w:tc>
          <w:tcPr>
            <w:tcW w:w="7308" w:type="dxa"/>
            <w:gridSpan w:val="6"/>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98" w:type="dxa"/>
            <w:vMerge w:val="continue"/>
          </w:tcPr>
          <w:p>
            <w:pPr>
              <w:pStyle w:val="2"/>
              <w:spacing w:line="400" w:lineRule="exact"/>
              <w:rPr>
                <w:rFonts w:hint="eastAsia" w:ascii="Times New Roman" w:hAnsi="Times New Roman" w:eastAsia="仿宋_GB2312"/>
                <w:b/>
                <w:bCs/>
                <w:sz w:val="32"/>
                <w:szCs w:val="32"/>
              </w:rPr>
            </w:pPr>
          </w:p>
        </w:tc>
        <w:tc>
          <w:tcPr>
            <w:tcW w:w="1233" w:type="dxa"/>
            <w:gridSpan w:val="3"/>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居家养老设施</w:t>
            </w:r>
          </w:p>
        </w:tc>
        <w:tc>
          <w:tcPr>
            <w:tcW w:w="7308" w:type="dxa"/>
            <w:gridSpan w:val="6"/>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98" w:type="dxa"/>
            <w:vMerge w:val="continue"/>
          </w:tcPr>
          <w:p>
            <w:pPr>
              <w:pStyle w:val="2"/>
              <w:spacing w:line="400" w:lineRule="exact"/>
              <w:rPr>
                <w:rFonts w:hint="eastAsia" w:ascii="Times New Roman" w:hAnsi="Times New Roman" w:eastAsia="仿宋_GB2312"/>
                <w:b/>
                <w:bCs/>
                <w:sz w:val="32"/>
                <w:szCs w:val="32"/>
              </w:rPr>
            </w:pPr>
          </w:p>
        </w:tc>
        <w:tc>
          <w:tcPr>
            <w:tcW w:w="1244" w:type="dxa"/>
            <w:gridSpan w:val="4"/>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人防</w:t>
            </w:r>
          </w:p>
        </w:tc>
        <w:tc>
          <w:tcPr>
            <w:tcW w:w="7297" w:type="dxa"/>
            <w:gridSpan w:val="5"/>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98" w:type="dxa"/>
            <w:vMerge w:val="continue"/>
          </w:tcPr>
          <w:p>
            <w:pPr>
              <w:pStyle w:val="2"/>
              <w:spacing w:line="400" w:lineRule="exact"/>
              <w:rPr>
                <w:rFonts w:hint="eastAsia" w:ascii="Times New Roman" w:hAnsi="Times New Roman" w:eastAsia="仿宋_GB2312"/>
                <w:sz w:val="32"/>
                <w:szCs w:val="32"/>
              </w:rPr>
            </w:pPr>
          </w:p>
        </w:tc>
        <w:tc>
          <w:tcPr>
            <w:tcW w:w="1244" w:type="dxa"/>
            <w:gridSpan w:val="4"/>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文化设施用房</w:t>
            </w:r>
          </w:p>
        </w:tc>
        <w:tc>
          <w:tcPr>
            <w:tcW w:w="7297" w:type="dxa"/>
            <w:gridSpan w:val="5"/>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98" w:type="dxa"/>
            <w:vMerge w:val="continue"/>
          </w:tcPr>
          <w:p>
            <w:pPr>
              <w:pStyle w:val="2"/>
              <w:spacing w:line="400" w:lineRule="exact"/>
              <w:rPr>
                <w:rFonts w:hint="eastAsia" w:ascii="Times New Roman" w:hAnsi="Times New Roman" w:eastAsia="仿宋_GB2312"/>
                <w:sz w:val="32"/>
                <w:szCs w:val="32"/>
              </w:rPr>
            </w:pPr>
          </w:p>
        </w:tc>
        <w:tc>
          <w:tcPr>
            <w:tcW w:w="1244" w:type="dxa"/>
            <w:gridSpan w:val="4"/>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体育健身设施</w:t>
            </w:r>
          </w:p>
        </w:tc>
        <w:tc>
          <w:tcPr>
            <w:tcW w:w="7297" w:type="dxa"/>
            <w:gridSpan w:val="5"/>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598" w:type="dxa"/>
            <w:vMerge w:val="continue"/>
          </w:tcPr>
          <w:p>
            <w:pPr>
              <w:pStyle w:val="2"/>
              <w:spacing w:line="400" w:lineRule="exact"/>
              <w:rPr>
                <w:rFonts w:hint="eastAsia" w:ascii="Times New Roman" w:hAnsi="Times New Roman" w:eastAsia="仿宋_GB2312"/>
                <w:sz w:val="32"/>
                <w:szCs w:val="32"/>
              </w:rPr>
            </w:pPr>
          </w:p>
        </w:tc>
        <w:tc>
          <w:tcPr>
            <w:tcW w:w="1244" w:type="dxa"/>
            <w:gridSpan w:val="4"/>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文化活动场地</w:t>
            </w:r>
          </w:p>
        </w:tc>
        <w:tc>
          <w:tcPr>
            <w:tcW w:w="7297" w:type="dxa"/>
            <w:gridSpan w:val="5"/>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75" w:type="dxa"/>
            <w:gridSpan w:val="3"/>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b/>
                <w:bCs/>
                <w:sz w:val="32"/>
                <w:szCs w:val="32"/>
              </w:rPr>
              <w:t>日照</w:t>
            </w:r>
          </w:p>
        </w:tc>
        <w:tc>
          <w:tcPr>
            <w:tcW w:w="8164" w:type="dxa"/>
            <w:gridSpan w:val="7"/>
          </w:tcPr>
          <w:p>
            <w:pPr>
              <w:pStyle w:val="2"/>
              <w:spacing w:line="400" w:lineRule="exact"/>
              <w:rPr>
                <w:rFonts w:hint="eastAsia" w:ascii="Times New Roman" w:hAnsi="Times New Roman" w:eastAsia="仿宋_GB2312"/>
                <w:sz w:val="32"/>
                <w:szCs w:val="32"/>
              </w:rPr>
            </w:pPr>
            <w:r>
              <w:rPr>
                <w:rFonts w:hint="eastAsia" w:ascii="Times New Roman" w:hAnsi="Times New Roman" w:eastAsia="仿宋_GB2312"/>
                <w:sz w:val="32"/>
                <w:szCs w:val="32"/>
              </w:rPr>
              <w:t>《城市建筑工程日照分析技术规程》DB33/1050-2016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75" w:type="dxa"/>
            <w:gridSpan w:val="3"/>
            <w:vMerge w:val="restart"/>
          </w:tcPr>
          <w:p>
            <w:pPr>
              <w:pStyle w:val="2"/>
              <w:spacing w:line="400" w:lineRule="exact"/>
              <w:rPr>
                <w:rFonts w:ascii="Times New Roman" w:hAnsi="Times New Roman" w:eastAsia="仿宋_GB2312"/>
                <w:b/>
                <w:bCs/>
                <w:sz w:val="32"/>
                <w:szCs w:val="32"/>
              </w:rPr>
            </w:pPr>
            <w:r>
              <w:rPr>
                <w:rFonts w:hint="eastAsia" w:ascii="Times New Roman" w:hAnsi="Times New Roman" w:eastAsia="仿宋_GB2312"/>
                <w:b/>
                <w:bCs/>
                <w:sz w:val="32"/>
                <w:szCs w:val="32"/>
              </w:rPr>
              <w:t>城市设计</w:t>
            </w:r>
          </w:p>
        </w:tc>
        <w:tc>
          <w:tcPr>
            <w:tcW w:w="3784" w:type="dxa"/>
            <w:gridSpan w:val="6"/>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建筑形式（风格、色彩等）</w:t>
            </w:r>
          </w:p>
        </w:tc>
        <w:tc>
          <w:tcPr>
            <w:tcW w:w="4380" w:type="dxa"/>
          </w:tcPr>
          <w:p>
            <w:pPr>
              <w:pStyle w:val="2"/>
              <w:spacing w:line="400" w:lineRule="exact"/>
              <w:rPr>
                <w:rFonts w:hint="eastAsia"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 w:hRule="atLeast"/>
        </w:trPr>
        <w:tc>
          <w:tcPr>
            <w:tcW w:w="975" w:type="dxa"/>
            <w:gridSpan w:val="3"/>
            <w:vMerge w:val="continue"/>
          </w:tcPr>
          <w:p>
            <w:pPr>
              <w:pStyle w:val="2"/>
              <w:spacing w:line="400" w:lineRule="exact"/>
              <w:rPr>
                <w:rFonts w:hint="eastAsia" w:ascii="Times New Roman" w:hAnsi="Times New Roman" w:eastAsia="仿宋_GB2312"/>
                <w:b/>
                <w:bCs/>
                <w:sz w:val="32"/>
                <w:szCs w:val="32"/>
              </w:rPr>
            </w:pPr>
          </w:p>
        </w:tc>
        <w:tc>
          <w:tcPr>
            <w:tcW w:w="3784" w:type="dxa"/>
            <w:gridSpan w:val="6"/>
          </w:tcPr>
          <w:p>
            <w:pPr>
              <w:pStyle w:val="2"/>
              <w:spacing w:line="400" w:lineRule="exact"/>
              <w:rPr>
                <w:rFonts w:ascii="Times New Roman" w:hAnsi="Times New Roman" w:eastAsia="仿宋_GB2312"/>
                <w:sz w:val="32"/>
                <w:szCs w:val="32"/>
              </w:rPr>
            </w:pPr>
            <w:r>
              <w:rPr>
                <w:rFonts w:hint="eastAsia" w:ascii="Times New Roman" w:hAnsi="Times New Roman" w:eastAsia="仿宋_GB2312"/>
                <w:sz w:val="32"/>
                <w:szCs w:val="32"/>
              </w:rPr>
              <w:t>景观要求</w:t>
            </w:r>
          </w:p>
        </w:tc>
        <w:tc>
          <w:tcPr>
            <w:tcW w:w="4380" w:type="dxa"/>
          </w:tcPr>
          <w:p>
            <w:pPr>
              <w:pStyle w:val="2"/>
              <w:spacing w:line="400" w:lineRule="exact"/>
              <w:rPr>
                <w:rFonts w:hint="eastAsia" w:ascii="Times New Roman" w:hAnsi="Times New Roman" w:eastAsia="仿宋_GB2312"/>
                <w:sz w:val="32"/>
                <w:szCs w:val="32"/>
              </w:rPr>
            </w:pPr>
          </w:p>
        </w:tc>
      </w:tr>
    </w:tbl>
    <w:p>
      <w:pPr>
        <w:pStyle w:val="2"/>
        <w:ind w:firstLine="480" w:firstLineChars="200"/>
        <w:rPr>
          <w:rFonts w:hint="eastAsia" w:ascii="Times New Roman" w:hAnsi="Times New Roman" w:eastAsia="仿宋_GB2312"/>
          <w:sz w:val="24"/>
          <w:szCs w:val="24"/>
        </w:rPr>
      </w:pPr>
      <w:r>
        <w:rPr>
          <w:rFonts w:hint="eastAsia" w:ascii="Times New Roman" w:hAnsi="Times New Roman" w:eastAsia="仿宋_GB2312"/>
          <w:sz w:val="24"/>
          <w:szCs w:val="24"/>
        </w:rPr>
        <w:t>备注：建筑面积计算按《建筑工程建筑面积计算和竣工综合测量技术规程》DB33/T 1152-2018、《建筑工程建筑面积计算和竣工综合测量技术补充规定》（浙自然资发</w:t>
      </w:r>
      <w:r>
        <w:rPr>
          <w:rFonts w:ascii="Times New Roman" w:hAnsi="Times New Roman" w:eastAsia="仿宋_GB2312"/>
          <w:sz w:val="24"/>
          <w:szCs w:val="24"/>
        </w:rPr>
        <w:t>〔201</w:t>
      </w:r>
      <w:r>
        <w:rPr>
          <w:rFonts w:hint="eastAsia" w:ascii="Times New Roman" w:hAnsi="Times New Roman" w:eastAsia="仿宋_GB2312"/>
          <w:sz w:val="24"/>
          <w:szCs w:val="24"/>
        </w:rPr>
        <w:t>9</w:t>
      </w:r>
      <w:r>
        <w:rPr>
          <w:rFonts w:ascii="Times New Roman" w:hAnsi="Times New Roman" w:eastAsia="仿宋_GB2312"/>
          <w:sz w:val="24"/>
          <w:szCs w:val="24"/>
        </w:rPr>
        <w:t>〕</w:t>
      </w:r>
      <w:r>
        <w:rPr>
          <w:rFonts w:hint="eastAsia" w:ascii="Times New Roman" w:hAnsi="Times New Roman" w:eastAsia="仿宋_GB2312"/>
          <w:sz w:val="24"/>
          <w:szCs w:val="24"/>
        </w:rPr>
        <w:t>34号）执行。</w:t>
      </w:r>
    </w:p>
    <w:p>
      <w:pPr>
        <w:pStyle w:val="2"/>
        <w:spacing w:line="600" w:lineRule="exact"/>
        <w:ind w:firstLine="645"/>
        <w:rPr>
          <w:rFonts w:hint="eastAsia" w:ascii="Times New Roman" w:hAnsi="Times New Roman" w:eastAsia="仿宋_GB2312"/>
          <w:sz w:val="32"/>
          <w:szCs w:val="32"/>
        </w:rPr>
      </w:pPr>
      <w:r>
        <w:rPr>
          <w:rFonts w:hint="eastAsia" w:ascii="Times New Roman" w:hAnsi="Times New Roman" w:eastAsia="仿宋_GB2312"/>
          <w:sz w:val="32"/>
          <w:szCs w:val="32"/>
        </w:rPr>
        <w:t>除上述规定外，其他未尽事宜应遵守国家、地方政府和有关部门的相关政策和规定。</w:t>
      </w:r>
    </w:p>
    <w:p>
      <w:pPr>
        <w:pStyle w:val="2"/>
        <w:spacing w:line="600" w:lineRule="exact"/>
        <w:ind w:firstLine="645"/>
        <w:rPr>
          <w:rFonts w:hint="eastAsia" w:ascii="Times New Roman" w:hAnsi="Times New Roman" w:eastAsia="仿宋_GB2312"/>
          <w:sz w:val="32"/>
          <w:szCs w:val="32"/>
        </w:rPr>
      </w:pPr>
      <w:r>
        <w:rPr>
          <w:rFonts w:hint="eastAsia" w:ascii="Times New Roman" w:hAnsi="Times New Roman" w:eastAsia="仿宋_GB2312"/>
          <w:sz w:val="32"/>
          <w:szCs w:val="32"/>
        </w:rPr>
        <w:t>附件：红线图。</w:t>
      </w:r>
    </w:p>
    <w:p>
      <w:pPr>
        <w:pStyle w:val="2"/>
        <w:spacing w:line="600" w:lineRule="exact"/>
        <w:ind w:firstLine="645"/>
        <w:rPr>
          <w:rFonts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r>
        <w:rPr>
          <w:rFonts w:hint="eastAsia" w:ascii="Times New Roman" w:hAnsi="Times New Roman" w:eastAsia="仿宋_GB2312"/>
          <w:sz w:val="32"/>
          <w:szCs w:val="32"/>
        </w:rPr>
        <w:t xml:space="preserve"> 平阳县自然资源和规划局</w:t>
      </w:r>
    </w:p>
    <w:p>
      <w:pPr>
        <w:pStyle w:val="2"/>
        <w:spacing w:line="600" w:lineRule="exact"/>
        <w:jc w:val="right"/>
        <w:rPr>
          <w:rFonts w:hint="eastAsia" w:ascii="Times New Roman" w:hAnsi="Times New Roman" w:eastAsia="仿宋_GB2312"/>
          <w:sz w:val="32"/>
          <w:szCs w:val="32"/>
        </w:rPr>
      </w:pPr>
      <w:r>
        <w:rPr>
          <w:rFonts w:hint="eastAsia" w:ascii="Times New Roman" w:hAnsi="Times New Roman" w:eastAsia="仿宋_GB2312"/>
          <w:sz w:val="32"/>
          <w:szCs w:val="32"/>
        </w:rPr>
        <w:t>2023年2月16日</w:t>
      </w: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r>
        <w:rPr>
          <w:rFonts w:hint="eastAsia" w:ascii="Times New Roman" w:hAnsi="Times New Roman" w:eastAsia="仿宋_GB2312"/>
          <w:sz w:val="32"/>
          <w:szCs w:val="32"/>
        </w:rPr>
        <w:drawing>
          <wp:anchor distT="0" distB="0" distL="114300" distR="114300" simplePos="0" relativeHeight="251659264" behindDoc="0" locked="0" layoutInCell="1" allowOverlap="1">
            <wp:simplePos x="0" y="0"/>
            <wp:positionH relativeFrom="column">
              <wp:posOffset>-114300</wp:posOffset>
            </wp:positionH>
            <wp:positionV relativeFrom="paragraph">
              <wp:posOffset>628650</wp:posOffset>
            </wp:positionV>
            <wp:extent cx="5463540" cy="7143750"/>
            <wp:effectExtent l="19050" t="0" r="3810" b="0"/>
            <wp:wrapSquare wrapText="bothSides"/>
            <wp:docPr id="1" name="图片 0" descr="平阳县第二职业技术学校迁扩建项目用地红线-Mo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平阳县第二职业技术学校迁扩建项目用地红线-Model.jpg"/>
                    <pic:cNvPicPr>
                      <a:picLocks noChangeAspect="1"/>
                    </pic:cNvPicPr>
                  </pic:nvPicPr>
                  <pic:blipFill>
                    <a:blip r:embed="rId4" cstate="print"/>
                    <a:stretch>
                      <a:fillRect/>
                    </a:stretch>
                  </pic:blipFill>
                  <pic:spPr>
                    <a:xfrm>
                      <a:off x="0" y="0"/>
                      <a:ext cx="5463540" cy="7143750"/>
                    </a:xfrm>
                    <a:prstGeom prst="rect">
                      <a:avLst/>
                    </a:prstGeom>
                  </pic:spPr>
                </pic:pic>
              </a:graphicData>
            </a:graphic>
          </wp:anchor>
        </w:drawing>
      </w:r>
    </w:p>
    <w:p>
      <w:pPr>
        <w:pStyle w:val="2"/>
        <w:spacing w:line="600" w:lineRule="exact"/>
        <w:jc w:val="right"/>
        <w:rPr>
          <w:rFonts w:hint="eastAsia" w:ascii="Times New Roman" w:hAnsi="Times New Roman" w:eastAsia="仿宋_GB2312"/>
          <w:sz w:val="32"/>
          <w:szCs w:val="32"/>
        </w:rPr>
      </w:pPr>
    </w:p>
    <w:p>
      <w:pPr>
        <w:pStyle w:val="2"/>
        <w:spacing w:line="600" w:lineRule="exact"/>
        <w:jc w:val="right"/>
        <w:rPr>
          <w:rFonts w:hint="eastAsia" w:ascii="Times New Roman" w:hAnsi="Times New Roman" w:eastAsia="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方正小标宋简体">
    <w:altName w:val="黑体"/>
    <w:panose1 w:val="00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FlZmE1OGU3ZGZlMTdmNzFlNjYwNGY5NmJhMGQ0NDQifQ=="/>
  </w:docVars>
  <w:rsids>
    <w:rsidRoot w:val="000027F8"/>
    <w:rsid w:val="000027F8"/>
    <w:rsid w:val="0026415B"/>
    <w:rsid w:val="00AA6737"/>
    <w:rsid w:val="00F95F7E"/>
    <w:rsid w:val="34372E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6"/>
    <w:qFormat/>
    <w:uiPriority w:val="0"/>
    <w:rPr>
      <w:rFonts w:ascii="宋体" w:hAnsi="Courier New"/>
      <w:szCs w:val="20"/>
    </w:rPr>
  </w:style>
  <w:style w:type="paragraph" w:styleId="3">
    <w:name w:val="Balloon Text"/>
    <w:basedOn w:val="1"/>
    <w:link w:val="7"/>
    <w:semiHidden/>
    <w:unhideWhenUsed/>
    <w:qFormat/>
    <w:uiPriority w:val="99"/>
    <w:rPr>
      <w:sz w:val="18"/>
      <w:szCs w:val="18"/>
    </w:rPr>
  </w:style>
  <w:style w:type="character" w:customStyle="1" w:styleId="6">
    <w:name w:val="纯文本 Char"/>
    <w:basedOn w:val="5"/>
    <w:link w:val="2"/>
    <w:uiPriority w:val="0"/>
    <w:rPr>
      <w:rFonts w:ascii="宋体" w:hAnsi="Courier New" w:eastAsia="宋体" w:cs="Times New Roman"/>
      <w:szCs w:val="20"/>
    </w:rPr>
  </w:style>
  <w:style w:type="character" w:customStyle="1" w:styleId="7">
    <w:name w:val="批注框文本 Char"/>
    <w:basedOn w:val="5"/>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554</Words>
  <Characters>661</Characters>
  <Lines>5</Lines>
  <Paragraphs>1</Paragraphs>
  <TotalTime>41</TotalTime>
  <ScaleCrop>false</ScaleCrop>
  <LinksUpToDate>false</LinksUpToDate>
  <CharactersWithSpaces>663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2023-02-16T02:04:00Z</dcterms:created>
  <dc:creator>林冬青</dc:creator>
  <cp:lastModifiedBy>楚</cp:lastModifiedBy>
  <dcterms:modified xsi:type="dcterms:W3CDTF">2023-02-24T10:10:12Z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C5B0EE2946494544A12656EE14165558</vt:lpwstr>
  </property>
</Properties>
</file>