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8" w:hRule="atLeast"/>
        </w:trPr>
        <w:tc>
          <w:tcPr>
            <w:tcW w:w="9639" w:type="dxa"/>
            <w:noWrap w:val="0"/>
            <w:vAlign w:val="top"/>
          </w:tcPr>
          <w:p>
            <w:pPr>
              <w:bidi w:val="0"/>
              <w:rPr>
                <w:rFonts w:hint="eastAsia"/>
                <w:color w:val="auto"/>
                <w:highlight w:val="none"/>
              </w:rPr>
            </w:pPr>
          </w:p>
          <w:p>
            <w:pPr>
              <w:jc w:val="center"/>
              <w:rPr>
                <w:rFonts w:hint="eastAsia" w:ascii="宋体" w:hAnsi="宋体"/>
                <w:color w:val="auto"/>
                <w:sz w:val="84"/>
                <w:szCs w:val="84"/>
                <w:highlight w:val="none"/>
              </w:rPr>
            </w:pPr>
            <w:r>
              <w:rPr>
                <w:rFonts w:hint="eastAsia" w:ascii="宋体" w:hAnsi="宋体"/>
                <w:color w:val="auto"/>
                <w:sz w:val="84"/>
                <w:szCs w:val="84"/>
                <w:highlight w:val="none"/>
              </w:rPr>
              <w:t>平  阳  县</w:t>
            </w:r>
          </w:p>
          <w:p>
            <w:pPr>
              <w:jc w:val="center"/>
              <w:rPr>
                <w:rFonts w:hint="eastAsia" w:ascii="宋体" w:hAnsi="宋体"/>
                <w:color w:val="auto"/>
                <w:sz w:val="84"/>
                <w:szCs w:val="84"/>
                <w:highlight w:val="none"/>
              </w:rPr>
            </w:pPr>
            <w:r>
              <w:rPr>
                <w:rFonts w:hint="eastAsia" w:ascii="宋体" w:hAnsi="宋体"/>
                <w:color w:val="auto"/>
                <w:sz w:val="84"/>
                <w:szCs w:val="84"/>
                <w:highlight w:val="none"/>
              </w:rPr>
              <w:t>国有企业采购招标文件</w:t>
            </w:r>
          </w:p>
          <w:p>
            <w:pPr>
              <w:spacing w:line="440" w:lineRule="exact"/>
              <w:ind w:left="1148"/>
              <w:jc w:val="center"/>
              <w:rPr>
                <w:rFonts w:hint="eastAsia" w:ascii="宋体" w:hAnsi="宋体" w:cs="宋体"/>
                <w:bCs/>
                <w:color w:val="auto"/>
                <w:sz w:val="28"/>
                <w:highlight w:val="none"/>
              </w:rPr>
            </w:pPr>
          </w:p>
          <w:p>
            <w:pPr>
              <w:pStyle w:val="21"/>
              <w:spacing w:before="120" w:after="120"/>
              <w:ind w:left="447" w:hanging="447"/>
              <w:rPr>
                <w:rFonts w:hint="eastAsia"/>
                <w:color w:val="auto"/>
                <w:highlight w:val="none"/>
              </w:rPr>
            </w:pPr>
          </w:p>
          <w:p>
            <w:pPr>
              <w:spacing w:line="440" w:lineRule="exact"/>
              <w:rPr>
                <w:rFonts w:hint="eastAsia" w:ascii="宋体" w:hAnsi="宋体" w:cs="宋体"/>
                <w:b/>
                <w:bCs/>
                <w:color w:val="auto"/>
                <w:sz w:val="28"/>
                <w:highlight w:val="none"/>
              </w:rPr>
            </w:pPr>
            <w:r>
              <w:rPr>
                <w:rFonts w:hint="eastAsia" w:ascii="宋体" w:hAnsi="宋体" w:cs="宋体"/>
                <w:b/>
                <w:bCs/>
                <w:color w:val="auto"/>
                <w:sz w:val="28"/>
                <w:highlight w:val="none"/>
              </w:rPr>
              <w:t xml:space="preserve">                                         </w:t>
            </w:r>
          </w:p>
          <w:p>
            <w:pPr>
              <w:widowControl/>
              <w:tabs>
                <w:tab w:val="left" w:pos="2019"/>
              </w:tabs>
              <w:spacing w:line="276" w:lineRule="auto"/>
              <w:ind w:left="3148" w:leftChars="723" w:hanging="1557" w:hangingChars="517"/>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lang w:eastAsia="zh-CN"/>
              </w:rPr>
              <w:t>2021年纯电动客车采购</w:t>
            </w:r>
          </w:p>
          <w:p>
            <w:pPr>
              <w:widowControl/>
              <w:tabs>
                <w:tab w:val="left" w:pos="2019"/>
              </w:tabs>
              <w:spacing w:line="276" w:lineRule="auto"/>
              <w:ind w:left="3701" w:leftChars="724" w:hanging="2108" w:hangingChars="7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招标编号：</w:t>
            </w:r>
            <w:r>
              <w:rPr>
                <w:rFonts w:hint="eastAsia" w:ascii="宋体" w:hAnsi="宋体" w:cs="宋体"/>
                <w:b/>
                <w:color w:val="auto"/>
                <w:sz w:val="30"/>
                <w:szCs w:val="30"/>
                <w:highlight w:val="none"/>
                <w:lang w:eastAsia="zh-CN"/>
              </w:rPr>
              <w:t>PYCG210924092</w:t>
            </w:r>
          </w:p>
          <w:p>
            <w:pPr>
              <w:spacing w:line="440" w:lineRule="exact"/>
              <w:ind w:left="1320" w:leftChars="600" w:firstLine="904" w:firstLineChars="300"/>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w:t>
            </w:r>
          </w:p>
          <w:p>
            <w:pPr>
              <w:spacing w:line="440" w:lineRule="exact"/>
              <w:ind w:left="1320" w:leftChars="600" w:firstLine="904" w:firstLineChars="300"/>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w:t>
            </w:r>
          </w:p>
          <w:p>
            <w:pPr>
              <w:spacing w:line="440" w:lineRule="exact"/>
              <w:ind w:left="1320" w:leftChars="600" w:firstLine="904" w:firstLineChars="300"/>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w:t>
            </w:r>
          </w:p>
          <w:p>
            <w:pPr>
              <w:spacing w:line="276" w:lineRule="auto"/>
              <w:ind w:firstLine="1593" w:firstLineChars="529"/>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lang w:eastAsia="zh-CN"/>
              </w:rPr>
              <w:t>温州长安集团有限公司</w:t>
            </w:r>
          </w:p>
          <w:p>
            <w:pPr>
              <w:spacing w:line="276" w:lineRule="auto"/>
              <w:ind w:firstLine="1593" w:firstLineChars="529"/>
              <w:rPr>
                <w:rFonts w:hint="eastAsia" w:ascii="宋体" w:hAnsi="宋体" w:cs="宋体"/>
                <w:b/>
                <w:color w:val="auto"/>
                <w:sz w:val="30"/>
                <w:szCs w:val="30"/>
                <w:highlight w:val="none"/>
              </w:rPr>
            </w:pPr>
            <w:r>
              <w:rPr>
                <w:rFonts w:hint="eastAsia" w:ascii="宋体" w:hAnsi="宋体" w:cs="宋体"/>
                <w:b/>
                <w:color w:val="auto"/>
                <w:sz w:val="30"/>
                <w:szCs w:val="30"/>
                <w:highlight w:val="none"/>
              </w:rPr>
              <w:t>联 系 人：陈先生</w:t>
            </w:r>
          </w:p>
          <w:p>
            <w:pPr>
              <w:spacing w:line="276" w:lineRule="auto"/>
              <w:ind w:firstLine="1593" w:firstLineChars="529"/>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rPr>
              <w:t>联系电话：0577-63199612</w:t>
            </w:r>
          </w:p>
          <w:p>
            <w:pPr>
              <w:spacing w:line="440" w:lineRule="exact"/>
              <w:ind w:left="1148"/>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w:t>
            </w:r>
          </w:p>
          <w:p>
            <w:pPr>
              <w:spacing w:line="440" w:lineRule="exact"/>
              <w:ind w:left="1148"/>
              <w:rPr>
                <w:rFonts w:hint="eastAsia" w:ascii="宋体" w:hAnsi="宋体" w:cs="宋体"/>
                <w:b/>
                <w:color w:val="auto"/>
                <w:sz w:val="30"/>
                <w:szCs w:val="30"/>
                <w:highlight w:val="none"/>
              </w:rPr>
            </w:pPr>
          </w:p>
          <w:p>
            <w:pPr>
              <w:spacing w:line="276" w:lineRule="auto"/>
              <w:ind w:firstLine="1593" w:firstLineChars="529"/>
              <w:rPr>
                <w:rFonts w:hint="eastAsia" w:ascii="宋体" w:hAnsi="宋体" w:cs="宋体"/>
                <w:b/>
                <w:color w:val="auto"/>
                <w:sz w:val="30"/>
                <w:szCs w:val="30"/>
                <w:highlight w:val="none"/>
              </w:rPr>
            </w:pPr>
            <w:r>
              <w:rPr>
                <w:rFonts w:hint="eastAsia" w:ascii="宋体" w:hAnsi="宋体" w:cs="宋体"/>
                <w:b/>
                <w:color w:val="auto"/>
                <w:sz w:val="30"/>
                <w:szCs w:val="30"/>
                <w:highlight w:val="none"/>
              </w:rPr>
              <w:t>采购机构：浙江品信工程项目管理有限公司</w:t>
            </w:r>
          </w:p>
          <w:p>
            <w:pPr>
              <w:spacing w:line="276" w:lineRule="auto"/>
              <w:ind w:firstLine="1593" w:firstLineChars="529"/>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联 系 人：</w:t>
            </w:r>
            <w:r>
              <w:rPr>
                <w:rFonts w:hint="eastAsia" w:ascii="宋体" w:hAnsi="宋体" w:cs="宋体"/>
                <w:b/>
                <w:color w:val="auto"/>
                <w:sz w:val="30"/>
                <w:szCs w:val="30"/>
                <w:highlight w:val="none"/>
                <w:lang w:eastAsia="zh-CN"/>
              </w:rPr>
              <w:t>吴女士</w:t>
            </w:r>
          </w:p>
          <w:p>
            <w:pPr>
              <w:spacing w:line="276" w:lineRule="auto"/>
              <w:ind w:firstLine="1593" w:firstLineChars="529"/>
              <w:rPr>
                <w:rFonts w:hint="eastAsia" w:ascii="宋体" w:hAnsi="宋体" w:cs="宋体"/>
                <w:b/>
                <w:color w:val="auto"/>
                <w:sz w:val="30"/>
                <w:szCs w:val="30"/>
                <w:highlight w:val="none"/>
              </w:rPr>
            </w:pPr>
            <w:r>
              <w:rPr>
                <w:rFonts w:hint="eastAsia" w:ascii="宋体" w:hAnsi="宋体" w:cs="宋体"/>
                <w:b/>
                <w:color w:val="auto"/>
                <w:sz w:val="30"/>
                <w:szCs w:val="30"/>
                <w:highlight w:val="none"/>
              </w:rPr>
              <w:t>联系电话：0577-63682718、15669781333</w:t>
            </w:r>
          </w:p>
          <w:p>
            <w:pPr>
              <w:spacing w:line="276" w:lineRule="auto"/>
              <w:ind w:firstLine="1593" w:firstLineChars="529"/>
              <w:rPr>
                <w:rFonts w:hint="eastAsia" w:ascii="宋体" w:hAnsi="宋体" w:cs="宋体"/>
                <w:b/>
                <w:color w:val="auto"/>
                <w:sz w:val="30"/>
                <w:szCs w:val="30"/>
                <w:highlight w:val="none"/>
              </w:rPr>
            </w:pPr>
            <w:r>
              <w:rPr>
                <w:rFonts w:hint="eastAsia" w:ascii="宋体" w:hAnsi="宋体" w:cs="宋体"/>
                <w:b/>
                <w:color w:val="auto"/>
                <w:sz w:val="30"/>
                <w:szCs w:val="30"/>
                <w:highlight w:val="none"/>
              </w:rPr>
              <w:t>联系传真：0577-63682718</w:t>
            </w:r>
          </w:p>
          <w:p>
            <w:pPr>
              <w:spacing w:line="440" w:lineRule="exact"/>
              <w:ind w:firstLine="2117" w:firstLineChars="703"/>
              <w:rPr>
                <w:rFonts w:hint="eastAsia" w:ascii="宋体" w:hAnsi="宋体" w:cs="宋体"/>
                <w:b/>
                <w:color w:val="auto"/>
                <w:sz w:val="30"/>
                <w:szCs w:val="30"/>
                <w:highlight w:val="none"/>
              </w:rPr>
            </w:pPr>
          </w:p>
          <w:p>
            <w:pPr>
              <w:spacing w:line="440" w:lineRule="exact"/>
              <w:ind w:left="1148"/>
              <w:jc w:val="center"/>
              <w:rPr>
                <w:rFonts w:hint="eastAsia" w:ascii="宋体" w:hAnsi="宋体" w:cs="宋体"/>
                <w:b/>
                <w:color w:val="auto"/>
                <w:sz w:val="30"/>
                <w:szCs w:val="30"/>
                <w:highlight w:val="none"/>
              </w:rPr>
            </w:pPr>
          </w:p>
          <w:p>
            <w:pPr>
              <w:spacing w:line="440" w:lineRule="exact"/>
              <w:ind w:firstLine="2117" w:firstLineChars="703"/>
              <w:rPr>
                <w:rFonts w:hint="eastAsia" w:ascii="宋体" w:hAnsi="宋体" w:cs="宋体"/>
                <w:b/>
                <w:color w:val="auto"/>
                <w:sz w:val="30"/>
                <w:szCs w:val="30"/>
                <w:highlight w:val="none"/>
              </w:rPr>
            </w:pPr>
          </w:p>
          <w:p>
            <w:pPr>
              <w:pStyle w:val="25"/>
              <w:ind w:left="0" w:leftChars="0"/>
              <w:jc w:val="center"/>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 xml:space="preserve">    </w:t>
            </w:r>
          </w:p>
          <w:p>
            <w:pPr>
              <w:pStyle w:val="25"/>
              <w:ind w:left="0" w:leftChars="0"/>
              <w:jc w:val="center"/>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二○二一年九月</w:t>
            </w:r>
          </w:p>
          <w:p>
            <w:pPr>
              <w:rPr>
                <w:rFonts w:hint="eastAsia" w:ascii="宋体" w:hAnsi="宋体" w:cs="宋体"/>
                <w:color w:val="auto"/>
                <w:highlight w:val="none"/>
              </w:rPr>
            </w:pPr>
          </w:p>
          <w:p>
            <w:pPr>
              <w:rPr>
                <w:rFonts w:hint="eastAsia" w:ascii="宋体" w:hAnsi="宋体" w:cs="宋体"/>
                <w:color w:val="auto"/>
                <w:highlight w:val="none"/>
              </w:rPr>
            </w:pPr>
          </w:p>
        </w:tc>
      </w:tr>
    </w:tbl>
    <w:p>
      <w:pPr>
        <w:snapToGrid w:val="0"/>
        <w:spacing w:line="360" w:lineRule="atLeast"/>
        <w:jc w:val="center"/>
        <w:rPr>
          <w:rFonts w:hint="eastAsia" w:ascii="宋体" w:hAnsi="宋体" w:cs="宋体"/>
          <w:b/>
          <w:bCs/>
          <w:color w:val="auto"/>
          <w:sz w:val="36"/>
          <w:szCs w:val="28"/>
          <w:highlight w:val="none"/>
        </w:rPr>
      </w:pPr>
      <w:r>
        <w:rPr>
          <w:rFonts w:hint="eastAsia" w:ascii="宋体" w:hAnsi="宋体" w:cs="宋体"/>
          <w:b/>
          <w:bCs/>
          <w:color w:val="auto"/>
          <w:sz w:val="36"/>
          <w:szCs w:val="28"/>
          <w:highlight w:val="none"/>
        </w:rPr>
        <w:t>投标保证金办理注意事项</w:t>
      </w:r>
    </w:p>
    <w:p>
      <w:pPr>
        <w:snapToGrid w:val="0"/>
        <w:spacing w:line="360" w:lineRule="atLeast"/>
        <w:jc w:val="center"/>
        <w:rPr>
          <w:rFonts w:hint="eastAsia" w:ascii="宋体" w:hAnsi="宋体" w:cs="宋体"/>
          <w:color w:val="auto"/>
          <w:sz w:val="44"/>
          <w:szCs w:val="28"/>
          <w:highlight w:val="none"/>
        </w:rPr>
      </w:pPr>
    </w:p>
    <w:p>
      <w:pPr>
        <w:snapToGrid w:val="0"/>
        <w:spacing w:line="880" w:lineRule="exact"/>
        <w:ind w:left="240" w:hanging="240" w:hangingChars="100"/>
        <w:rPr>
          <w:rFonts w:hint="eastAsia" w:ascii="宋体" w:hAnsi="宋体" w:cs="宋体"/>
          <w:color w:val="auto"/>
          <w:szCs w:val="22"/>
          <w:highlight w:val="none"/>
        </w:rPr>
      </w:pPr>
      <w:r>
        <w:rPr>
          <w:rFonts w:hint="eastAsia" w:ascii="宋体" w:hAnsi="宋体" w:cs="宋体"/>
          <w:color w:val="auto"/>
          <w:sz w:val="24"/>
          <w:highlight w:val="none"/>
        </w:rPr>
        <w:t>●</w:t>
      </w:r>
      <w:r>
        <w:rPr>
          <w:rFonts w:hint="eastAsia" w:ascii="宋体" w:hAnsi="宋体" w:cs="宋体"/>
          <w:color w:val="auto"/>
          <w:szCs w:val="22"/>
          <w:highlight w:val="none"/>
        </w:rPr>
        <w:t>为了您的投标工作顺利进行，投标前请按规定时间先将投标保证金从供应商账户转入招标文件规定的银行账户,并确认到账。</w:t>
      </w:r>
    </w:p>
    <w:p>
      <w:pPr>
        <w:snapToGrid w:val="0"/>
        <w:spacing w:line="880" w:lineRule="exact"/>
        <w:rPr>
          <w:rFonts w:hint="eastAsia" w:ascii="宋体" w:hAnsi="宋体" w:cs="宋体"/>
          <w:color w:val="auto"/>
          <w:szCs w:val="22"/>
          <w:highlight w:val="none"/>
        </w:rPr>
      </w:pPr>
      <w:r>
        <w:rPr>
          <w:rFonts w:hint="eastAsia" w:ascii="宋体" w:hAnsi="宋体" w:cs="宋体"/>
          <w:color w:val="auto"/>
          <w:szCs w:val="22"/>
          <w:highlight w:val="none"/>
        </w:rPr>
        <w:t>●为了帮助您选择快捷的保证金支付结算方式，请您联系平阳县公共资源交易中心保证金结算窗口：咨询电话：(0577)63193058 陈女士</w:t>
      </w:r>
    </w:p>
    <w:p>
      <w:pPr>
        <w:snapToGrid w:val="0"/>
        <w:spacing w:line="880" w:lineRule="exact"/>
        <w:rPr>
          <w:rFonts w:hint="eastAsia" w:ascii="宋体" w:hAnsi="宋体" w:cs="宋体"/>
          <w:color w:val="auto"/>
          <w:szCs w:val="22"/>
          <w:highlight w:val="none"/>
        </w:rPr>
      </w:pPr>
      <w:r>
        <w:rPr>
          <w:rFonts w:hint="eastAsia" w:ascii="宋体" w:hAnsi="宋体" w:cs="宋体"/>
          <w:color w:val="auto"/>
          <w:szCs w:val="22"/>
          <w:highlight w:val="none"/>
        </w:rPr>
        <w:t>●</w:t>
      </w:r>
      <w:r>
        <w:rPr>
          <w:rFonts w:hint="eastAsia" w:ascii="宋体" w:hAnsi="宋体" w:cs="宋体"/>
          <w:color w:val="auto"/>
          <w:kern w:val="0"/>
          <w:szCs w:val="22"/>
          <w:highlight w:val="none"/>
        </w:rPr>
        <w:t>交付方式:汇票/支票/银行转账/</w:t>
      </w:r>
      <w:r>
        <w:rPr>
          <w:rFonts w:hint="eastAsia" w:ascii="宋体" w:hAnsi="宋体" w:cs="宋体"/>
          <w:color w:val="auto"/>
          <w:szCs w:val="22"/>
          <w:highlight w:val="none"/>
        </w:rPr>
        <w:t>其他结算方式；不得以现金方式存入。</w:t>
      </w:r>
    </w:p>
    <w:p>
      <w:pPr>
        <w:snapToGrid w:val="0"/>
        <w:spacing w:line="880" w:lineRule="exact"/>
        <w:ind w:left="220" w:hanging="220" w:hangingChars="100"/>
        <w:rPr>
          <w:rFonts w:hint="eastAsia" w:ascii="宋体" w:hAnsi="宋体" w:cs="宋体"/>
          <w:color w:val="auto"/>
          <w:highlight w:val="none"/>
        </w:rPr>
      </w:pPr>
      <w:r>
        <w:rPr>
          <w:rFonts w:hint="eastAsia" w:ascii="宋体" w:hAnsi="宋体" w:cs="宋体"/>
          <w:color w:val="auto"/>
          <w:szCs w:val="22"/>
          <w:highlight w:val="none"/>
        </w:rPr>
        <w:t>●</w:t>
      </w:r>
      <w:r>
        <w:rPr>
          <w:rFonts w:hint="eastAsia" w:ascii="宋体" w:hAnsi="宋体" w:cs="宋体"/>
          <w:color w:val="auto"/>
          <w:highlight w:val="none"/>
        </w:rPr>
        <w:t>保证金退付：未中标的供应商的投标保证金，在中标供应商确定后5个工作日内退还；中标供应商的投标保证金在签订合同后5个工作日内退还。投标保证金由</w:t>
      </w:r>
      <w:r>
        <w:rPr>
          <w:rFonts w:hint="eastAsia" w:ascii="宋体" w:hAnsi="宋体" w:cs="宋体"/>
          <w:color w:val="auto"/>
          <w:szCs w:val="22"/>
          <w:highlight w:val="none"/>
        </w:rPr>
        <w:t>平阳县公共资源交易中心直接退还到原汇入账户，</w:t>
      </w:r>
      <w:r>
        <w:rPr>
          <w:rFonts w:hint="eastAsia" w:ascii="宋体" w:hAnsi="宋体" w:cs="宋体"/>
          <w:color w:val="auto"/>
          <w:highlight w:val="none"/>
        </w:rPr>
        <w:t>无须供应商出具保证金收据。</w:t>
      </w:r>
    </w:p>
    <w:p>
      <w:pPr>
        <w:snapToGrid w:val="0"/>
        <w:spacing w:line="880" w:lineRule="exact"/>
        <w:ind w:left="220" w:hanging="220" w:hangingChars="100"/>
        <w:rPr>
          <w:rFonts w:hint="eastAsia" w:ascii="宋体" w:hAnsi="宋体" w:cs="宋体"/>
          <w:color w:val="auto"/>
          <w:highlight w:val="none"/>
        </w:rPr>
      </w:pPr>
      <w:r>
        <w:rPr>
          <w:rFonts w:hint="eastAsia" w:ascii="宋体" w:hAnsi="宋体" w:cs="宋体"/>
          <w:color w:val="auto"/>
          <w:szCs w:val="22"/>
          <w:highlight w:val="none"/>
        </w:rPr>
        <w:t>●温馨提醒：</w:t>
      </w:r>
      <w:r>
        <w:rPr>
          <w:rFonts w:hint="eastAsia" w:ascii="宋体" w:hAnsi="宋体" w:cs="宋体"/>
          <w:color w:val="auto"/>
          <w:highlight w:val="none"/>
        </w:rPr>
        <w:t>保证金到账后，平阳县公共资源交易中心不再出具保证金收据，投标时请您携带相关汇款凭证；请认真填写贵单位银行开户信息以方便平阳县公共资源交易中心退还贵单位投标保证金。</w:t>
      </w:r>
    </w:p>
    <w:p>
      <w:pPr>
        <w:snapToGrid w:val="0"/>
        <w:spacing w:line="360" w:lineRule="atLeast"/>
        <w:ind w:left="220" w:hanging="220" w:hangingChars="100"/>
        <w:rPr>
          <w:rFonts w:hint="eastAsia" w:ascii="宋体" w:hAnsi="宋体" w:cs="宋体"/>
          <w:color w:val="auto"/>
          <w:szCs w:val="22"/>
          <w:highlight w:val="none"/>
        </w:rPr>
      </w:pPr>
    </w:p>
    <w:p>
      <w:pPr>
        <w:snapToGrid w:val="0"/>
        <w:spacing w:line="360" w:lineRule="atLeast"/>
        <w:ind w:left="220" w:hanging="220" w:hangingChars="100"/>
        <w:rPr>
          <w:rFonts w:hint="eastAsia" w:ascii="宋体" w:hAnsi="宋体" w:cs="宋体"/>
          <w:color w:val="auto"/>
          <w:szCs w:val="22"/>
          <w:highlight w:val="none"/>
        </w:rPr>
      </w:pPr>
    </w:p>
    <w:p>
      <w:pPr>
        <w:jc w:val="center"/>
        <w:rPr>
          <w:rFonts w:hint="eastAsia" w:ascii="宋体" w:hAnsi="宋体" w:cs="宋体"/>
          <w:b/>
          <w:bCs/>
          <w:color w:val="auto"/>
          <w:szCs w:val="22"/>
          <w:highlight w:val="none"/>
        </w:rPr>
      </w:pPr>
    </w:p>
    <w:p>
      <w:pPr>
        <w:widowControl/>
        <w:tabs>
          <w:tab w:val="left" w:pos="2019"/>
        </w:tabs>
        <w:jc w:val="right"/>
        <w:rPr>
          <w:rFonts w:hint="eastAsia" w:ascii="宋体" w:hAnsi="宋体" w:cs="宋体"/>
          <w:color w:val="auto"/>
          <w:szCs w:val="22"/>
          <w:highlight w:val="none"/>
        </w:rPr>
      </w:pPr>
      <w:r>
        <w:rPr>
          <w:rFonts w:hint="eastAsia" w:ascii="宋体" w:hAnsi="宋体" w:cs="宋体"/>
          <w:color w:val="auto"/>
          <w:szCs w:val="22"/>
          <w:highlight w:val="none"/>
        </w:rPr>
        <w:t>平阳县公共资源交易中心</w:t>
      </w:r>
    </w:p>
    <w:p>
      <w:pPr>
        <w:widowControl/>
        <w:tabs>
          <w:tab w:val="left" w:pos="2019"/>
        </w:tabs>
        <w:jc w:val="center"/>
        <w:rPr>
          <w:rFonts w:hint="eastAsia" w:ascii="宋体" w:hAnsi="宋体" w:cs="宋体"/>
          <w:color w:val="auto"/>
          <w:szCs w:val="22"/>
          <w:highlight w:val="none"/>
        </w:rPr>
      </w:pPr>
    </w:p>
    <w:p>
      <w:pPr>
        <w:widowControl/>
        <w:tabs>
          <w:tab w:val="left" w:pos="2019"/>
        </w:tabs>
        <w:jc w:val="center"/>
        <w:rPr>
          <w:rFonts w:hint="eastAsia" w:ascii="宋体" w:hAnsi="宋体" w:cs="宋体"/>
          <w:color w:val="auto"/>
          <w:szCs w:val="22"/>
          <w:highlight w:val="none"/>
        </w:rPr>
      </w:pPr>
    </w:p>
    <w:p>
      <w:pPr>
        <w:widowControl/>
        <w:tabs>
          <w:tab w:val="left" w:pos="2019"/>
        </w:tabs>
        <w:jc w:val="center"/>
        <w:rPr>
          <w:rFonts w:hint="eastAsia" w:ascii="宋体" w:hAnsi="宋体" w:cs="宋体"/>
          <w:color w:val="auto"/>
          <w:szCs w:val="22"/>
          <w:highlight w:val="none"/>
        </w:rPr>
      </w:pPr>
    </w:p>
    <w:p>
      <w:pPr>
        <w:widowControl/>
        <w:tabs>
          <w:tab w:val="left" w:pos="2019"/>
        </w:tabs>
        <w:jc w:val="center"/>
        <w:rPr>
          <w:rFonts w:hint="eastAsia" w:ascii="宋体" w:hAnsi="宋体" w:cs="宋体"/>
          <w:color w:val="auto"/>
          <w:szCs w:val="22"/>
          <w:highlight w:val="none"/>
        </w:rPr>
      </w:pPr>
    </w:p>
    <w:p>
      <w:pPr>
        <w:widowControl/>
        <w:tabs>
          <w:tab w:val="left" w:pos="2019"/>
        </w:tabs>
        <w:jc w:val="center"/>
        <w:rPr>
          <w:rFonts w:hint="eastAsia" w:ascii="宋体" w:hAnsi="宋体" w:cs="宋体"/>
          <w:color w:val="auto"/>
          <w:szCs w:val="22"/>
          <w:highlight w:val="none"/>
        </w:rPr>
      </w:pPr>
    </w:p>
    <w:p>
      <w:pPr>
        <w:widowControl/>
        <w:tabs>
          <w:tab w:val="left" w:pos="2019"/>
        </w:tabs>
        <w:jc w:val="center"/>
        <w:rPr>
          <w:rFonts w:hint="eastAsia" w:ascii="宋体" w:hAnsi="宋体" w:cs="宋体"/>
          <w:color w:val="auto"/>
          <w:szCs w:val="22"/>
          <w:highlight w:val="none"/>
        </w:rPr>
      </w:pPr>
    </w:p>
    <w:p>
      <w:pPr>
        <w:widowControl/>
        <w:tabs>
          <w:tab w:val="left" w:pos="2019"/>
        </w:tabs>
        <w:jc w:val="center"/>
        <w:rPr>
          <w:rFonts w:hint="eastAsia" w:ascii="宋体" w:hAnsi="宋体" w:cs="宋体"/>
          <w:color w:val="auto"/>
          <w:szCs w:val="22"/>
          <w:highlight w:val="none"/>
        </w:rPr>
      </w:pPr>
    </w:p>
    <w:p>
      <w:pPr>
        <w:widowControl/>
        <w:tabs>
          <w:tab w:val="left" w:pos="2019"/>
        </w:tabs>
        <w:jc w:val="center"/>
        <w:rPr>
          <w:rFonts w:hint="eastAsia" w:ascii="宋体" w:hAnsi="宋体" w:cs="宋体"/>
          <w:color w:val="auto"/>
          <w:szCs w:val="22"/>
          <w:highlight w:val="none"/>
        </w:rPr>
      </w:pPr>
    </w:p>
    <w:p>
      <w:pPr>
        <w:pStyle w:val="21"/>
        <w:spacing w:before="120" w:after="120"/>
        <w:ind w:left="447" w:hanging="447"/>
        <w:rPr>
          <w:rFonts w:hint="eastAsia"/>
          <w:color w:val="auto"/>
          <w:highlight w:val="none"/>
        </w:rPr>
      </w:pPr>
    </w:p>
    <w:p>
      <w:pPr>
        <w:widowControl/>
        <w:tabs>
          <w:tab w:val="left" w:pos="2019"/>
        </w:tabs>
        <w:jc w:val="center"/>
        <w:rPr>
          <w:rFonts w:hint="eastAsia" w:ascii="宋体" w:hAnsi="宋体" w:cs="宋体"/>
          <w:color w:val="auto"/>
          <w:szCs w:val="22"/>
          <w:highlight w:val="none"/>
        </w:rPr>
      </w:pPr>
    </w:p>
    <w:p>
      <w:pPr>
        <w:widowControl/>
        <w:tabs>
          <w:tab w:val="left" w:pos="2019"/>
        </w:tabs>
        <w:spacing w:line="360" w:lineRule="auto"/>
        <w:jc w:val="center"/>
        <w:rPr>
          <w:rFonts w:hint="eastAsia" w:ascii="宋体" w:hAnsi="宋体" w:cs="宋体"/>
          <w:b/>
          <w:bCs/>
          <w:color w:val="auto"/>
          <w:kern w:val="0"/>
          <w:sz w:val="28"/>
          <w:szCs w:val="30"/>
          <w:highlight w:val="none"/>
        </w:rPr>
      </w:pPr>
      <w:r>
        <w:rPr>
          <w:rFonts w:ascii="宋体" w:hAnsi="宋体" w:cs="宋体"/>
          <w:b/>
          <w:bCs/>
          <w:color w:val="auto"/>
          <w:kern w:val="0"/>
          <w:sz w:val="28"/>
          <w:szCs w:val="30"/>
          <w:highlight w:val="none"/>
        </w:rPr>
        <w:br w:type="page"/>
      </w:r>
      <w:r>
        <w:rPr>
          <w:rFonts w:hint="eastAsia" w:ascii="宋体" w:hAnsi="宋体" w:cs="宋体"/>
          <w:b/>
          <w:bCs/>
          <w:color w:val="auto"/>
          <w:kern w:val="0"/>
          <w:sz w:val="32"/>
          <w:szCs w:val="30"/>
          <w:highlight w:val="none"/>
        </w:rPr>
        <w:t>浙江品信工程项目管理有限公司关于</w:t>
      </w:r>
      <w:r>
        <w:rPr>
          <w:rFonts w:hint="eastAsia" w:ascii="宋体" w:hAnsi="宋体" w:cs="宋体"/>
          <w:b/>
          <w:bCs/>
          <w:color w:val="auto"/>
          <w:kern w:val="0"/>
          <w:sz w:val="32"/>
          <w:szCs w:val="30"/>
          <w:highlight w:val="none"/>
          <w:lang w:eastAsia="zh-CN"/>
        </w:rPr>
        <w:t>2021年纯电动客车采购</w:t>
      </w:r>
      <w:r>
        <w:rPr>
          <w:rFonts w:hint="eastAsia" w:ascii="宋体" w:hAnsi="宋体" w:cs="宋体"/>
          <w:b/>
          <w:bCs/>
          <w:color w:val="auto"/>
          <w:kern w:val="0"/>
          <w:sz w:val="32"/>
          <w:szCs w:val="30"/>
          <w:highlight w:val="none"/>
        </w:rPr>
        <w:t>公开招标的公告</w:t>
      </w:r>
    </w:p>
    <w:p>
      <w:pPr>
        <w:widowControl/>
        <w:tabs>
          <w:tab w:val="left" w:pos="2019"/>
        </w:tabs>
        <w:spacing w:line="360" w:lineRule="auto"/>
        <w:jc w:val="center"/>
        <w:rPr>
          <w:rFonts w:hint="eastAsia" w:ascii="宋体" w:hAnsi="宋体" w:cs="宋体"/>
          <w:b/>
          <w:bCs/>
          <w:color w:val="auto"/>
          <w:kern w:val="0"/>
          <w:sz w:val="32"/>
          <w:szCs w:val="32"/>
          <w:highlight w:val="none"/>
        </w:rPr>
      </w:pPr>
      <w:r>
        <w:rPr>
          <w:rFonts w:hint="eastAsia" w:ascii="宋体" w:hAnsi="宋体" w:cs="宋体"/>
          <w:b/>
          <w:bCs/>
          <w:color w:val="auto"/>
          <w:sz w:val="28"/>
          <w:szCs w:val="28"/>
          <w:highlight w:val="none"/>
        </w:rPr>
        <w:t>公告日期：202</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月</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日</w:t>
      </w:r>
    </w:p>
    <w:p>
      <w:pPr>
        <w:widowControl/>
        <w:snapToGrid w:val="0"/>
        <w:spacing w:line="460" w:lineRule="exact"/>
        <w:rPr>
          <w:rFonts w:hint="eastAsia" w:ascii="宋体" w:hAnsi="宋体" w:cs="宋体"/>
          <w:color w:val="auto"/>
          <w:kern w:val="0"/>
          <w:szCs w:val="2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Cs w:val="22"/>
          <w:highlight w:val="none"/>
        </w:rPr>
        <w:t>根据《平阳县国有企业采购管理办法（试行）》等有关规定，浙江品信工程项目管理有限公司受</w:t>
      </w:r>
      <w:r>
        <w:rPr>
          <w:rFonts w:hint="eastAsia" w:ascii="宋体" w:hAnsi="宋体" w:cs="宋体"/>
          <w:color w:val="auto"/>
          <w:kern w:val="0"/>
          <w:szCs w:val="22"/>
          <w:highlight w:val="none"/>
          <w:lang w:eastAsia="zh-CN"/>
        </w:rPr>
        <w:t>温州长安集团有限公司</w:t>
      </w:r>
      <w:r>
        <w:rPr>
          <w:rFonts w:hint="eastAsia" w:ascii="宋体" w:hAnsi="宋体" w:cs="宋体"/>
          <w:color w:val="auto"/>
          <w:kern w:val="0"/>
          <w:szCs w:val="22"/>
          <w:highlight w:val="none"/>
        </w:rPr>
        <w:t>委托，就</w:t>
      </w:r>
      <w:r>
        <w:rPr>
          <w:rFonts w:hint="eastAsia" w:ascii="宋体" w:hAnsi="宋体" w:cs="宋体"/>
          <w:color w:val="auto"/>
          <w:kern w:val="0"/>
          <w:szCs w:val="22"/>
          <w:highlight w:val="none"/>
          <w:lang w:eastAsia="zh-CN"/>
        </w:rPr>
        <w:t>2021年纯电动客车采购</w:t>
      </w:r>
      <w:r>
        <w:rPr>
          <w:rFonts w:hint="eastAsia" w:ascii="宋体" w:hAnsi="宋体" w:cs="宋体"/>
          <w:color w:val="auto"/>
          <w:kern w:val="0"/>
          <w:szCs w:val="22"/>
          <w:highlight w:val="none"/>
        </w:rPr>
        <w:t>进行公开招标，</w:t>
      </w:r>
      <w:r>
        <w:rPr>
          <w:rFonts w:hint="eastAsia" w:ascii="宋体" w:hAnsi="宋体" w:cs="宋体"/>
          <w:color w:val="auto"/>
          <w:szCs w:val="22"/>
          <w:highlight w:val="none"/>
        </w:rPr>
        <w:t>欢迎国内合格的供应商前来投标。</w:t>
      </w:r>
    </w:p>
    <w:p>
      <w:pPr>
        <w:widowControl/>
        <w:numPr>
          <w:ilvl w:val="0"/>
          <w:numId w:val="7"/>
        </w:numPr>
        <w:snapToGrid w:val="0"/>
        <w:spacing w:line="460" w:lineRule="exact"/>
        <w:jc w:val="left"/>
        <w:rPr>
          <w:rFonts w:hint="eastAsia" w:ascii="宋体" w:hAnsi="宋体" w:cs="宋体"/>
          <w:b/>
          <w:color w:val="auto"/>
          <w:kern w:val="0"/>
          <w:szCs w:val="22"/>
          <w:highlight w:val="none"/>
        </w:rPr>
      </w:pPr>
      <w:r>
        <w:rPr>
          <w:rFonts w:hint="eastAsia" w:ascii="宋体" w:hAnsi="宋体" w:cs="宋体"/>
          <w:b/>
          <w:color w:val="auto"/>
          <w:kern w:val="0"/>
          <w:szCs w:val="22"/>
          <w:highlight w:val="none"/>
        </w:rPr>
        <w:t>招标编号：</w:t>
      </w:r>
      <w:r>
        <w:rPr>
          <w:rFonts w:hint="eastAsia" w:ascii="宋体" w:hAnsi="宋体" w:cs="宋体"/>
          <w:b/>
          <w:color w:val="auto"/>
          <w:kern w:val="0"/>
          <w:szCs w:val="22"/>
          <w:highlight w:val="none"/>
          <w:lang w:eastAsia="zh-CN"/>
        </w:rPr>
        <w:t>PYCG210924092</w:t>
      </w:r>
    </w:p>
    <w:p>
      <w:pPr>
        <w:widowControl/>
        <w:snapToGrid w:val="0"/>
        <w:spacing w:line="460" w:lineRule="exact"/>
        <w:jc w:val="left"/>
        <w:rPr>
          <w:rFonts w:hint="eastAsia" w:ascii="宋体" w:hAnsi="宋体" w:cs="宋体"/>
          <w:color w:val="auto"/>
          <w:kern w:val="0"/>
          <w:szCs w:val="22"/>
          <w:highlight w:val="none"/>
        </w:rPr>
      </w:pPr>
      <w:r>
        <w:rPr>
          <w:rFonts w:hint="eastAsia" w:ascii="宋体" w:hAnsi="宋体" w:cs="宋体"/>
          <w:b/>
          <w:bCs/>
          <w:color w:val="auto"/>
          <w:kern w:val="0"/>
          <w:szCs w:val="22"/>
          <w:highlight w:val="none"/>
        </w:rPr>
        <w:t>二、采购组织类型：国企采购</w:t>
      </w:r>
    </w:p>
    <w:p>
      <w:pPr>
        <w:widowControl/>
        <w:snapToGrid w:val="0"/>
        <w:spacing w:line="460" w:lineRule="exact"/>
        <w:jc w:val="left"/>
        <w:rPr>
          <w:rFonts w:hint="eastAsia" w:ascii="宋体" w:hAnsi="宋体" w:cs="宋体"/>
          <w:b/>
          <w:bCs/>
          <w:color w:val="auto"/>
          <w:kern w:val="0"/>
          <w:szCs w:val="22"/>
          <w:highlight w:val="none"/>
        </w:rPr>
      </w:pPr>
      <w:r>
        <w:rPr>
          <w:rFonts w:hint="eastAsia" w:ascii="宋体" w:hAnsi="宋体" w:cs="宋体"/>
          <w:b/>
          <w:bCs/>
          <w:color w:val="auto"/>
          <w:kern w:val="0"/>
          <w:szCs w:val="22"/>
          <w:highlight w:val="none"/>
        </w:rPr>
        <w:t>三、招标项目概况：</w:t>
      </w:r>
    </w:p>
    <w:tbl>
      <w:tblPr>
        <w:tblStyle w:val="4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288"/>
        <w:gridCol w:w="1119"/>
        <w:gridCol w:w="637"/>
        <w:gridCol w:w="635"/>
        <w:gridCol w:w="1097"/>
        <w:gridCol w:w="2448"/>
        <w:gridCol w:w="1059"/>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noWrap w:val="0"/>
            <w:vAlign w:val="center"/>
          </w:tcPr>
          <w:p>
            <w:pPr>
              <w:jc w:val="center"/>
              <w:rPr>
                <w:rFonts w:hint="eastAsia" w:ascii="宋体" w:hAnsi="宋体" w:cs="宋体"/>
                <w:b/>
                <w:bCs/>
                <w:color w:val="auto"/>
                <w:kern w:val="0"/>
                <w:szCs w:val="22"/>
                <w:highlight w:val="none"/>
              </w:rPr>
            </w:pPr>
            <w:r>
              <w:rPr>
                <w:rFonts w:hint="eastAsia" w:ascii="宋体" w:hAnsi="宋体" w:cs="宋体"/>
                <w:color w:val="auto"/>
                <w:szCs w:val="22"/>
                <w:highlight w:val="none"/>
                <w:lang w:val="en-US" w:eastAsia="zh-CN"/>
              </w:rPr>
              <w:t>标项</w:t>
            </w:r>
            <w:r>
              <w:rPr>
                <w:rFonts w:hint="eastAsia" w:ascii="宋体" w:hAnsi="宋体" w:cs="宋体"/>
                <w:color w:val="auto"/>
                <w:szCs w:val="22"/>
                <w:highlight w:val="none"/>
              </w:rPr>
              <w:t>序号</w:t>
            </w:r>
          </w:p>
        </w:tc>
        <w:tc>
          <w:tcPr>
            <w:tcW w:w="639" w:type="pct"/>
            <w:noWrap w:val="0"/>
            <w:vAlign w:val="center"/>
          </w:tcPr>
          <w:p>
            <w:pPr>
              <w:jc w:val="center"/>
              <w:rPr>
                <w:rFonts w:hint="eastAsia" w:ascii="宋体" w:hAnsi="宋体" w:cs="宋体"/>
                <w:b/>
                <w:bCs/>
                <w:color w:val="auto"/>
                <w:kern w:val="0"/>
                <w:szCs w:val="22"/>
                <w:highlight w:val="none"/>
              </w:rPr>
            </w:pPr>
            <w:r>
              <w:rPr>
                <w:rFonts w:hint="eastAsia" w:ascii="宋体" w:hAnsi="宋体" w:cs="宋体"/>
                <w:color w:val="auto"/>
                <w:szCs w:val="22"/>
                <w:highlight w:val="none"/>
                <w:lang w:val="en-US" w:eastAsia="zh-CN"/>
              </w:rPr>
              <w:t>项目</w:t>
            </w:r>
            <w:r>
              <w:rPr>
                <w:rFonts w:hint="eastAsia" w:ascii="宋体" w:hAnsi="宋体" w:cs="宋体"/>
                <w:color w:val="auto"/>
                <w:szCs w:val="22"/>
                <w:highlight w:val="none"/>
              </w:rPr>
              <w:t>名称</w:t>
            </w:r>
          </w:p>
        </w:tc>
        <w:tc>
          <w:tcPr>
            <w:tcW w:w="555" w:type="pct"/>
            <w:noWrap w:val="0"/>
            <w:vAlign w:val="center"/>
          </w:tcPr>
          <w:p>
            <w:pPr>
              <w:jc w:val="center"/>
              <w:rPr>
                <w:rFonts w:hint="default" w:ascii="宋体" w:hAnsi="宋体" w:cs="宋体"/>
                <w:color w:val="auto"/>
                <w:szCs w:val="22"/>
                <w:highlight w:val="none"/>
                <w:lang w:val="en-US" w:eastAsia="zh-CN"/>
              </w:rPr>
            </w:pPr>
            <w:r>
              <w:rPr>
                <w:rFonts w:hint="eastAsia" w:ascii="宋体" w:hAnsi="宋体" w:cs="宋体"/>
                <w:color w:val="auto"/>
                <w:szCs w:val="22"/>
                <w:highlight w:val="none"/>
                <w:lang w:val="en-US" w:eastAsia="zh-CN"/>
              </w:rPr>
              <w:t>类型</w:t>
            </w:r>
          </w:p>
        </w:tc>
        <w:tc>
          <w:tcPr>
            <w:tcW w:w="316" w:type="pct"/>
            <w:noWrap w:val="0"/>
            <w:vAlign w:val="center"/>
          </w:tcPr>
          <w:p>
            <w:pPr>
              <w:jc w:val="center"/>
              <w:rPr>
                <w:rFonts w:hint="eastAsia" w:ascii="宋体" w:hAnsi="宋体" w:cs="宋体"/>
                <w:b/>
                <w:bCs/>
                <w:color w:val="auto"/>
                <w:kern w:val="0"/>
                <w:szCs w:val="22"/>
                <w:highlight w:val="none"/>
              </w:rPr>
            </w:pPr>
            <w:r>
              <w:rPr>
                <w:rFonts w:hint="eastAsia" w:ascii="宋体" w:hAnsi="宋体" w:cs="宋体"/>
                <w:color w:val="auto"/>
                <w:szCs w:val="22"/>
                <w:highlight w:val="none"/>
              </w:rPr>
              <w:t>数量</w:t>
            </w:r>
          </w:p>
        </w:tc>
        <w:tc>
          <w:tcPr>
            <w:tcW w:w="315" w:type="pct"/>
            <w:noWrap w:val="0"/>
            <w:vAlign w:val="center"/>
          </w:tcPr>
          <w:p>
            <w:pPr>
              <w:jc w:val="center"/>
              <w:rPr>
                <w:rFonts w:hint="eastAsia" w:ascii="宋体" w:hAnsi="宋体" w:cs="宋体"/>
                <w:b/>
                <w:bCs/>
                <w:color w:val="auto"/>
                <w:kern w:val="0"/>
                <w:szCs w:val="22"/>
                <w:highlight w:val="none"/>
              </w:rPr>
            </w:pPr>
            <w:r>
              <w:rPr>
                <w:rFonts w:hint="eastAsia" w:ascii="宋体" w:hAnsi="宋体" w:cs="宋体"/>
                <w:color w:val="auto"/>
                <w:szCs w:val="22"/>
                <w:highlight w:val="none"/>
              </w:rPr>
              <w:t>单位</w:t>
            </w:r>
          </w:p>
        </w:tc>
        <w:tc>
          <w:tcPr>
            <w:tcW w:w="544" w:type="pct"/>
            <w:noWrap w:val="0"/>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预算金额</w:t>
            </w:r>
          </w:p>
          <w:p>
            <w:pPr>
              <w:jc w:val="center"/>
              <w:rPr>
                <w:rFonts w:hint="eastAsia" w:ascii="宋体" w:hAnsi="宋体" w:cs="宋体"/>
                <w:b/>
                <w:bCs/>
                <w:color w:val="auto"/>
                <w:kern w:val="0"/>
                <w:szCs w:val="22"/>
                <w:highlight w:val="none"/>
              </w:rPr>
            </w:pPr>
            <w:r>
              <w:rPr>
                <w:rFonts w:hint="eastAsia" w:ascii="宋体" w:hAnsi="宋体" w:cs="宋体"/>
                <w:color w:val="auto"/>
                <w:szCs w:val="22"/>
                <w:highlight w:val="none"/>
              </w:rPr>
              <w:t>(万元)</w:t>
            </w:r>
          </w:p>
        </w:tc>
        <w:tc>
          <w:tcPr>
            <w:tcW w:w="1214" w:type="pct"/>
            <w:noWrap w:val="0"/>
            <w:vAlign w:val="center"/>
          </w:tcPr>
          <w:p>
            <w:pPr>
              <w:jc w:val="center"/>
              <w:rPr>
                <w:rFonts w:hint="eastAsia" w:ascii="宋体" w:hAnsi="宋体" w:cs="宋体"/>
                <w:b/>
                <w:bCs/>
                <w:color w:val="auto"/>
                <w:kern w:val="0"/>
                <w:szCs w:val="22"/>
                <w:highlight w:val="none"/>
              </w:rPr>
            </w:pPr>
            <w:r>
              <w:rPr>
                <w:rFonts w:hint="eastAsia" w:ascii="宋体" w:hAnsi="宋体" w:cs="宋体"/>
                <w:color w:val="auto"/>
                <w:szCs w:val="22"/>
                <w:highlight w:val="none"/>
              </w:rPr>
              <w:t>简要规格描述或标项基本概况介绍</w:t>
            </w:r>
          </w:p>
        </w:tc>
        <w:tc>
          <w:tcPr>
            <w:tcW w:w="525" w:type="pct"/>
            <w:noWrap w:val="0"/>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最高限价</w:t>
            </w:r>
          </w:p>
          <w:p>
            <w:pPr>
              <w:jc w:val="center"/>
              <w:rPr>
                <w:rFonts w:hint="eastAsia" w:ascii="宋体" w:hAnsi="宋体" w:cs="宋体"/>
                <w:b/>
                <w:bCs/>
                <w:color w:val="auto"/>
                <w:kern w:val="0"/>
                <w:szCs w:val="22"/>
                <w:highlight w:val="none"/>
              </w:rPr>
            </w:pPr>
            <w:r>
              <w:rPr>
                <w:rFonts w:hint="eastAsia" w:ascii="宋体" w:hAnsi="宋体" w:cs="宋体"/>
                <w:color w:val="auto"/>
                <w:szCs w:val="22"/>
                <w:highlight w:val="none"/>
              </w:rPr>
              <w:t>(万元)</w:t>
            </w:r>
          </w:p>
        </w:tc>
        <w:tc>
          <w:tcPr>
            <w:tcW w:w="518" w:type="pct"/>
            <w:noWrap w:val="0"/>
            <w:vAlign w:val="center"/>
          </w:tcPr>
          <w:p>
            <w:pPr>
              <w:jc w:val="center"/>
              <w:rPr>
                <w:rFonts w:hint="eastAsia" w:ascii="宋体" w:hAnsi="宋体" w:cs="宋体"/>
                <w:b/>
                <w:bCs/>
                <w:color w:val="auto"/>
                <w:kern w:val="0"/>
                <w:szCs w:val="22"/>
                <w:highlight w:val="none"/>
              </w:rPr>
            </w:pPr>
            <w:r>
              <w:rPr>
                <w:rFonts w:hint="eastAsia" w:ascii="宋体" w:hAnsi="宋体" w:cs="宋体"/>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371" w:type="pct"/>
            <w:noWrap w:val="0"/>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1</w:t>
            </w:r>
          </w:p>
        </w:tc>
        <w:tc>
          <w:tcPr>
            <w:tcW w:w="639" w:type="pct"/>
            <w:vMerge w:val="restart"/>
            <w:noWrap w:val="0"/>
            <w:vAlign w:val="center"/>
          </w:tcPr>
          <w:p>
            <w:pPr>
              <w:jc w:val="center"/>
              <w:rPr>
                <w:rFonts w:hint="eastAsia" w:ascii="宋体" w:hAnsi="宋体" w:eastAsia="宋体" w:cs="宋体"/>
                <w:color w:val="auto"/>
                <w:szCs w:val="22"/>
                <w:highlight w:val="none"/>
                <w:lang w:eastAsia="zh-CN"/>
              </w:rPr>
            </w:pPr>
            <w:r>
              <w:rPr>
                <w:rFonts w:hint="eastAsia" w:ascii="宋体" w:hAnsi="宋体" w:cs="宋体"/>
                <w:color w:val="auto"/>
                <w:szCs w:val="22"/>
                <w:highlight w:val="none"/>
                <w:lang w:eastAsia="zh-CN"/>
              </w:rPr>
              <w:t>202</w:t>
            </w:r>
            <w:r>
              <w:rPr>
                <w:rFonts w:hint="eastAsia" w:ascii="宋体" w:hAnsi="宋体" w:cs="宋体"/>
                <w:color w:val="auto"/>
                <w:szCs w:val="22"/>
                <w:highlight w:val="none"/>
                <w:lang w:val="en-US" w:eastAsia="zh-CN"/>
              </w:rPr>
              <w:t>1</w:t>
            </w:r>
            <w:r>
              <w:rPr>
                <w:rFonts w:hint="eastAsia" w:ascii="宋体" w:hAnsi="宋体" w:cs="宋体"/>
                <w:color w:val="auto"/>
                <w:szCs w:val="22"/>
                <w:highlight w:val="none"/>
                <w:lang w:eastAsia="zh-CN"/>
              </w:rPr>
              <w:t>年纯电动</w:t>
            </w:r>
            <w:r>
              <w:rPr>
                <w:rFonts w:hint="eastAsia" w:ascii="宋体" w:hAnsi="宋体" w:cs="宋体"/>
                <w:color w:val="auto"/>
                <w:szCs w:val="22"/>
                <w:highlight w:val="none"/>
                <w:lang w:val="en-US" w:eastAsia="zh-CN"/>
              </w:rPr>
              <w:t>城市</w:t>
            </w:r>
            <w:r>
              <w:rPr>
                <w:rFonts w:hint="eastAsia" w:ascii="宋体" w:hAnsi="宋体" w:cs="宋体"/>
                <w:color w:val="auto"/>
                <w:szCs w:val="22"/>
                <w:highlight w:val="none"/>
                <w:lang w:eastAsia="zh-CN"/>
              </w:rPr>
              <w:t>客车采购</w:t>
            </w:r>
          </w:p>
        </w:tc>
        <w:tc>
          <w:tcPr>
            <w:tcW w:w="555" w:type="pct"/>
            <w:noWrap w:val="0"/>
            <w:vAlign w:val="center"/>
          </w:tcPr>
          <w:p>
            <w:pPr>
              <w:jc w:val="center"/>
              <w:rPr>
                <w:rFonts w:hint="default" w:ascii="宋体" w:hAnsi="宋体" w:cs="宋体"/>
                <w:color w:val="auto"/>
                <w:kern w:val="2"/>
                <w:sz w:val="22"/>
                <w:szCs w:val="22"/>
                <w:highlight w:val="none"/>
                <w:lang w:val="en-US" w:eastAsia="zh-CN" w:bidi="ar-SA"/>
              </w:rPr>
            </w:pPr>
            <w:r>
              <w:rPr>
                <w:rFonts w:hint="eastAsia" w:ascii="宋体" w:hAnsi="宋体" w:cs="宋体"/>
                <w:color w:val="auto"/>
                <w:szCs w:val="22"/>
                <w:highlight w:val="none"/>
                <w:lang w:val="en-US" w:eastAsia="zh-CN"/>
              </w:rPr>
              <w:t>6米社区公交</w:t>
            </w:r>
          </w:p>
        </w:tc>
        <w:tc>
          <w:tcPr>
            <w:tcW w:w="316" w:type="pct"/>
            <w:noWrap w:val="0"/>
            <w:vAlign w:val="center"/>
          </w:tcPr>
          <w:p>
            <w:pPr>
              <w:spacing w:line="360" w:lineRule="auto"/>
              <w:jc w:val="center"/>
              <w:rPr>
                <w:rFonts w:hint="default" w:ascii="宋体" w:hAnsi="宋体" w:cs="宋体"/>
                <w:color w:val="auto"/>
                <w:kern w:val="2"/>
                <w:sz w:val="22"/>
                <w:szCs w:val="22"/>
                <w:highlight w:val="none"/>
                <w:lang w:val="en-US" w:eastAsia="zh-CN" w:bidi="ar-SA"/>
              </w:rPr>
            </w:pPr>
            <w:r>
              <w:rPr>
                <w:rFonts w:hint="eastAsia" w:ascii="宋体" w:hAnsi="宋体" w:cs="宋体"/>
                <w:color w:val="auto"/>
                <w:szCs w:val="22"/>
                <w:highlight w:val="none"/>
                <w:lang w:val="en-US" w:eastAsia="zh-CN"/>
              </w:rPr>
              <w:t>10</w:t>
            </w:r>
          </w:p>
        </w:tc>
        <w:tc>
          <w:tcPr>
            <w:tcW w:w="315" w:type="pct"/>
            <w:noWrap w:val="0"/>
            <w:vAlign w:val="center"/>
          </w:tcPr>
          <w:p>
            <w:pPr>
              <w:spacing w:line="360"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辆</w:t>
            </w:r>
          </w:p>
        </w:tc>
        <w:tc>
          <w:tcPr>
            <w:tcW w:w="544" w:type="pct"/>
            <w:noWrap w:val="0"/>
            <w:vAlign w:val="center"/>
          </w:tcPr>
          <w:p>
            <w:pPr>
              <w:spacing w:line="360" w:lineRule="auto"/>
              <w:jc w:val="center"/>
              <w:rPr>
                <w:rFonts w:hint="default" w:ascii="宋体" w:hAnsi="宋体" w:cs="宋体"/>
                <w:color w:val="auto"/>
                <w:kern w:val="2"/>
                <w:sz w:val="22"/>
                <w:szCs w:val="22"/>
                <w:highlight w:val="none"/>
                <w:lang w:val="en-US" w:eastAsia="zh-CN" w:bidi="ar-SA"/>
              </w:rPr>
            </w:pPr>
            <w:r>
              <w:rPr>
                <w:rFonts w:hint="eastAsia" w:ascii="宋体" w:hAnsi="宋体" w:cs="宋体"/>
                <w:color w:val="auto"/>
                <w:szCs w:val="22"/>
                <w:highlight w:val="none"/>
                <w:lang w:val="en-US" w:eastAsia="zh-CN"/>
              </w:rPr>
              <w:t>400</w:t>
            </w:r>
          </w:p>
        </w:tc>
        <w:tc>
          <w:tcPr>
            <w:tcW w:w="1214" w:type="pct"/>
            <w:vMerge w:val="restart"/>
            <w:noWrap w:val="0"/>
            <w:vAlign w:val="center"/>
          </w:tcPr>
          <w:p>
            <w:pPr>
              <w:spacing w:line="360" w:lineRule="auto"/>
              <w:jc w:val="center"/>
              <w:rPr>
                <w:rFonts w:hint="eastAsia" w:ascii="宋体" w:hAnsi="宋体" w:cs="宋体"/>
                <w:color w:val="auto"/>
                <w:szCs w:val="22"/>
                <w:highlight w:val="none"/>
              </w:rPr>
            </w:pPr>
            <w:r>
              <w:rPr>
                <w:rFonts w:hint="eastAsia" w:ascii="宋体" w:hAnsi="宋体" w:cs="宋体"/>
                <w:color w:val="auto"/>
                <w:kern w:val="0"/>
                <w:szCs w:val="22"/>
                <w:highlight w:val="none"/>
              </w:rPr>
              <w:t>具体包括所有车辆及配套货物的设计、制造（零配件采购、装配）、运输（至采购人指定地点）、</w:t>
            </w:r>
            <w:r>
              <w:rPr>
                <w:rFonts w:hint="eastAsia" w:ascii="宋体" w:hAnsi="宋体" w:cs="宋体"/>
                <w:color w:val="auto"/>
                <w:kern w:val="0"/>
                <w:szCs w:val="22"/>
                <w:highlight w:val="none"/>
                <w:lang w:eastAsia="zh-CN"/>
              </w:rPr>
              <w:t>负责</w:t>
            </w:r>
            <w:r>
              <w:rPr>
                <w:rFonts w:hint="eastAsia" w:ascii="宋体" w:hAnsi="宋体" w:cs="宋体"/>
                <w:color w:val="auto"/>
                <w:kern w:val="0"/>
                <w:szCs w:val="22"/>
                <w:highlight w:val="none"/>
              </w:rPr>
              <w:t>车辆上牌、配合相关补贴免税申报和办理、车辆交付、验收配合、售后服务、技术培训等全部工作。</w:t>
            </w:r>
          </w:p>
        </w:tc>
        <w:tc>
          <w:tcPr>
            <w:tcW w:w="525" w:type="pct"/>
            <w:noWrap w:val="0"/>
            <w:vAlign w:val="center"/>
          </w:tcPr>
          <w:p>
            <w:pPr>
              <w:spacing w:line="360" w:lineRule="auto"/>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400</w:t>
            </w:r>
          </w:p>
        </w:tc>
        <w:tc>
          <w:tcPr>
            <w:tcW w:w="518" w:type="pct"/>
            <w:noWrap w:val="0"/>
            <w:vAlign w:val="center"/>
          </w:tcPr>
          <w:p>
            <w:pPr>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371" w:type="pct"/>
            <w:noWrap w:val="0"/>
            <w:vAlign w:val="center"/>
          </w:tcPr>
          <w:p>
            <w:pPr>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2</w:t>
            </w:r>
          </w:p>
        </w:tc>
        <w:tc>
          <w:tcPr>
            <w:tcW w:w="639" w:type="pct"/>
            <w:vMerge w:val="continue"/>
            <w:noWrap w:val="0"/>
            <w:vAlign w:val="center"/>
          </w:tcPr>
          <w:p>
            <w:pPr>
              <w:jc w:val="center"/>
              <w:rPr>
                <w:rFonts w:hint="eastAsia" w:ascii="宋体" w:hAnsi="宋体" w:cs="宋体"/>
                <w:color w:val="auto"/>
                <w:szCs w:val="22"/>
                <w:highlight w:val="none"/>
                <w:lang w:eastAsia="zh-CN"/>
              </w:rPr>
            </w:pPr>
          </w:p>
        </w:tc>
        <w:tc>
          <w:tcPr>
            <w:tcW w:w="555" w:type="pct"/>
            <w:noWrap w:val="0"/>
            <w:vAlign w:val="center"/>
          </w:tcPr>
          <w:p>
            <w:pPr>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lang w:val="en-US" w:eastAsia="zh-CN"/>
              </w:rPr>
              <w:t>站立式公交</w:t>
            </w:r>
          </w:p>
        </w:tc>
        <w:tc>
          <w:tcPr>
            <w:tcW w:w="316" w:type="pct"/>
            <w:noWrap w:val="0"/>
            <w:vAlign w:val="center"/>
          </w:tcPr>
          <w:p>
            <w:pPr>
              <w:spacing w:line="360"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lang w:val="en-US" w:eastAsia="zh-CN"/>
              </w:rPr>
              <w:t>30</w:t>
            </w:r>
          </w:p>
        </w:tc>
        <w:tc>
          <w:tcPr>
            <w:tcW w:w="315" w:type="pct"/>
            <w:noWrap w:val="0"/>
            <w:vAlign w:val="center"/>
          </w:tcPr>
          <w:p>
            <w:pPr>
              <w:spacing w:line="360"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辆</w:t>
            </w:r>
          </w:p>
        </w:tc>
        <w:tc>
          <w:tcPr>
            <w:tcW w:w="544" w:type="pct"/>
            <w:noWrap w:val="0"/>
            <w:vAlign w:val="center"/>
          </w:tcPr>
          <w:p>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Cs w:val="22"/>
                <w:highlight w:val="none"/>
                <w:lang w:val="en-US" w:eastAsia="zh-CN"/>
              </w:rPr>
              <w:t>1500</w:t>
            </w:r>
          </w:p>
        </w:tc>
        <w:tc>
          <w:tcPr>
            <w:tcW w:w="1214" w:type="pct"/>
            <w:vMerge w:val="continue"/>
            <w:noWrap w:val="0"/>
            <w:vAlign w:val="center"/>
          </w:tcPr>
          <w:p>
            <w:pPr>
              <w:spacing w:line="360" w:lineRule="auto"/>
              <w:jc w:val="center"/>
              <w:rPr>
                <w:rFonts w:hint="eastAsia" w:ascii="宋体" w:hAnsi="宋体" w:cs="宋体"/>
                <w:color w:val="auto"/>
                <w:kern w:val="0"/>
                <w:szCs w:val="22"/>
                <w:highlight w:val="none"/>
              </w:rPr>
            </w:pPr>
          </w:p>
        </w:tc>
        <w:tc>
          <w:tcPr>
            <w:tcW w:w="525" w:type="pct"/>
            <w:noWrap w:val="0"/>
            <w:vAlign w:val="center"/>
          </w:tcPr>
          <w:p>
            <w:pPr>
              <w:spacing w:line="360" w:lineRule="auto"/>
              <w:jc w:val="center"/>
              <w:rPr>
                <w:rFonts w:hint="eastAsia" w:ascii="宋体" w:hAnsi="宋体" w:cs="宋体"/>
                <w:color w:val="auto"/>
                <w:szCs w:val="22"/>
                <w:highlight w:val="none"/>
                <w:lang w:val="en-US" w:eastAsia="zh-CN"/>
              </w:rPr>
            </w:pPr>
            <w:r>
              <w:rPr>
                <w:rFonts w:hint="eastAsia" w:ascii="宋体" w:hAnsi="宋体" w:cs="宋体"/>
                <w:color w:val="auto"/>
                <w:szCs w:val="22"/>
                <w:highlight w:val="none"/>
                <w:lang w:val="en-US" w:eastAsia="zh-CN"/>
              </w:rPr>
              <w:t>1500</w:t>
            </w:r>
          </w:p>
        </w:tc>
        <w:tc>
          <w:tcPr>
            <w:tcW w:w="518" w:type="pct"/>
            <w:vMerge w:val="restart"/>
            <w:noWrap w:val="0"/>
            <w:vAlign w:val="center"/>
          </w:tcPr>
          <w:p>
            <w:pPr>
              <w:jc w:val="center"/>
              <w:rPr>
                <w:rFonts w:hint="eastAsia" w:ascii="宋体" w:hAnsi="宋体" w:cs="宋体"/>
                <w:color w:val="auto"/>
                <w:szCs w:val="22"/>
                <w:highlight w:val="none"/>
                <w:lang w:eastAsia="zh-CN"/>
              </w:rPr>
            </w:pPr>
            <w:r>
              <w:rPr>
                <w:rFonts w:hint="eastAsia" w:ascii="宋体" w:hAnsi="宋体" w:cs="宋体"/>
                <w:color w:val="auto"/>
                <w:szCs w:val="22"/>
                <w:highlight w:val="none"/>
                <w:lang w:eastAsia="zh-CN"/>
              </w:rPr>
              <w:t>本次招标实行新车销售和旧车回购相结合方式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7" w:hRule="atLeast"/>
        </w:trPr>
        <w:tc>
          <w:tcPr>
            <w:tcW w:w="371" w:type="pct"/>
            <w:noWrap w:val="0"/>
            <w:vAlign w:val="center"/>
          </w:tcPr>
          <w:p>
            <w:pPr>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3</w:t>
            </w:r>
          </w:p>
        </w:tc>
        <w:tc>
          <w:tcPr>
            <w:tcW w:w="639" w:type="pct"/>
            <w:vMerge w:val="continue"/>
            <w:noWrap w:val="0"/>
            <w:vAlign w:val="center"/>
          </w:tcPr>
          <w:p>
            <w:pPr>
              <w:jc w:val="center"/>
              <w:rPr>
                <w:rFonts w:hint="eastAsia" w:ascii="宋体" w:hAnsi="宋体" w:cs="宋体"/>
                <w:color w:val="auto"/>
                <w:szCs w:val="22"/>
                <w:highlight w:val="none"/>
                <w:lang w:eastAsia="zh-CN"/>
              </w:rPr>
            </w:pPr>
          </w:p>
        </w:tc>
        <w:tc>
          <w:tcPr>
            <w:tcW w:w="555" w:type="pct"/>
            <w:noWrap w:val="0"/>
            <w:vAlign w:val="center"/>
          </w:tcPr>
          <w:p>
            <w:pPr>
              <w:jc w:val="center"/>
              <w:rPr>
                <w:rFonts w:hint="default" w:ascii="宋体" w:hAnsi="宋体" w:cs="宋体"/>
                <w:color w:val="auto"/>
                <w:szCs w:val="22"/>
                <w:highlight w:val="none"/>
                <w:lang w:val="en-US" w:eastAsia="zh-CN"/>
              </w:rPr>
            </w:pPr>
            <w:r>
              <w:rPr>
                <w:rFonts w:hint="eastAsia" w:ascii="宋体" w:hAnsi="宋体" w:cs="宋体"/>
                <w:color w:val="auto"/>
                <w:szCs w:val="22"/>
                <w:highlight w:val="none"/>
                <w:lang w:val="en-US" w:eastAsia="zh-CN"/>
              </w:rPr>
              <w:t>非立式公交（无站立区）</w:t>
            </w:r>
          </w:p>
        </w:tc>
        <w:tc>
          <w:tcPr>
            <w:tcW w:w="316" w:type="pct"/>
            <w:noWrap w:val="0"/>
            <w:vAlign w:val="center"/>
          </w:tcPr>
          <w:p>
            <w:pPr>
              <w:spacing w:line="360" w:lineRule="auto"/>
              <w:jc w:val="center"/>
              <w:rPr>
                <w:rFonts w:hint="default" w:ascii="宋体" w:hAnsi="宋体" w:cs="宋体"/>
                <w:color w:val="auto"/>
                <w:szCs w:val="22"/>
                <w:highlight w:val="none"/>
                <w:lang w:val="en-US" w:eastAsia="zh-CN"/>
              </w:rPr>
            </w:pPr>
            <w:r>
              <w:rPr>
                <w:rFonts w:hint="eastAsia" w:ascii="宋体" w:hAnsi="宋体" w:cs="宋体"/>
                <w:color w:val="auto"/>
                <w:szCs w:val="22"/>
                <w:highlight w:val="none"/>
                <w:lang w:val="en-US" w:eastAsia="zh-CN"/>
              </w:rPr>
              <w:t>44</w:t>
            </w:r>
          </w:p>
        </w:tc>
        <w:tc>
          <w:tcPr>
            <w:tcW w:w="315" w:type="pct"/>
            <w:noWrap w:val="0"/>
            <w:vAlign w:val="center"/>
          </w:tcPr>
          <w:p>
            <w:pPr>
              <w:spacing w:line="360" w:lineRule="auto"/>
              <w:jc w:val="center"/>
              <w:rPr>
                <w:rFonts w:hint="eastAsia" w:ascii="宋体" w:hAnsi="宋体" w:cs="宋体"/>
                <w:color w:val="auto"/>
                <w:szCs w:val="22"/>
                <w:highlight w:val="none"/>
              </w:rPr>
            </w:pPr>
            <w:r>
              <w:rPr>
                <w:rFonts w:hint="eastAsia" w:ascii="宋体" w:hAnsi="宋体" w:cs="宋体"/>
                <w:color w:val="auto"/>
                <w:szCs w:val="22"/>
                <w:highlight w:val="none"/>
              </w:rPr>
              <w:t>辆</w:t>
            </w:r>
          </w:p>
        </w:tc>
        <w:tc>
          <w:tcPr>
            <w:tcW w:w="544" w:type="pct"/>
            <w:noWrap w:val="0"/>
            <w:vAlign w:val="center"/>
          </w:tcPr>
          <w:p>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Cs w:val="22"/>
                <w:highlight w:val="none"/>
                <w:lang w:val="en-US" w:eastAsia="zh-CN"/>
              </w:rPr>
              <w:t>2200</w:t>
            </w:r>
          </w:p>
        </w:tc>
        <w:tc>
          <w:tcPr>
            <w:tcW w:w="1214" w:type="pct"/>
            <w:vMerge w:val="continue"/>
            <w:noWrap w:val="0"/>
            <w:vAlign w:val="center"/>
          </w:tcPr>
          <w:p>
            <w:pPr>
              <w:spacing w:line="360" w:lineRule="auto"/>
              <w:jc w:val="center"/>
              <w:rPr>
                <w:rFonts w:hint="eastAsia" w:ascii="宋体" w:hAnsi="宋体" w:cs="宋体"/>
                <w:color w:val="auto"/>
                <w:kern w:val="0"/>
                <w:szCs w:val="22"/>
                <w:highlight w:val="none"/>
              </w:rPr>
            </w:pPr>
          </w:p>
        </w:tc>
        <w:tc>
          <w:tcPr>
            <w:tcW w:w="525" w:type="pct"/>
            <w:noWrap w:val="0"/>
            <w:vAlign w:val="center"/>
          </w:tcPr>
          <w:p>
            <w:pPr>
              <w:spacing w:line="360" w:lineRule="auto"/>
              <w:jc w:val="center"/>
              <w:rPr>
                <w:rFonts w:hint="eastAsia" w:ascii="宋体" w:hAnsi="宋体" w:cs="宋体"/>
                <w:color w:val="auto"/>
                <w:szCs w:val="22"/>
                <w:highlight w:val="none"/>
                <w:lang w:val="en-US" w:eastAsia="zh-CN"/>
              </w:rPr>
            </w:pPr>
            <w:r>
              <w:rPr>
                <w:rFonts w:hint="eastAsia" w:ascii="宋体" w:hAnsi="宋体" w:cs="宋体"/>
                <w:color w:val="auto"/>
                <w:szCs w:val="22"/>
                <w:highlight w:val="none"/>
                <w:lang w:val="en-US" w:eastAsia="zh-CN"/>
              </w:rPr>
              <w:t>2200</w:t>
            </w:r>
          </w:p>
        </w:tc>
        <w:tc>
          <w:tcPr>
            <w:tcW w:w="518" w:type="pct"/>
            <w:vMerge w:val="continue"/>
            <w:noWrap w:val="0"/>
            <w:vAlign w:val="center"/>
          </w:tcPr>
          <w:p>
            <w:pPr>
              <w:jc w:val="center"/>
              <w:rPr>
                <w:rFonts w:hint="eastAsia" w:ascii="宋体" w:hAnsi="宋体" w:cs="宋体"/>
                <w:color w:val="auto"/>
                <w:szCs w:val="22"/>
                <w:highlight w:val="none"/>
                <w:lang w:eastAsia="zh-CN"/>
              </w:rPr>
            </w:pPr>
          </w:p>
        </w:tc>
      </w:tr>
    </w:tbl>
    <w:p>
      <w:pPr>
        <w:widowControl/>
        <w:adjustRightInd w:val="0"/>
        <w:snapToGrid w:val="0"/>
        <w:spacing w:line="360" w:lineRule="auto"/>
        <w:jc w:val="left"/>
        <w:rPr>
          <w:rFonts w:hint="eastAsia" w:ascii="宋体" w:hAnsi="宋体" w:cs="宋体"/>
          <w:b/>
          <w:bCs/>
          <w:color w:val="auto"/>
          <w:kern w:val="0"/>
          <w:szCs w:val="22"/>
          <w:highlight w:val="none"/>
        </w:rPr>
      </w:pPr>
    </w:p>
    <w:p>
      <w:pPr>
        <w:widowControl/>
        <w:adjustRightInd w:val="0"/>
        <w:snapToGrid w:val="0"/>
        <w:spacing w:line="360" w:lineRule="auto"/>
        <w:jc w:val="left"/>
        <w:rPr>
          <w:rFonts w:hint="eastAsia" w:ascii="宋体" w:hAnsi="宋体" w:cs="宋体"/>
          <w:color w:val="auto"/>
          <w:kern w:val="0"/>
          <w:szCs w:val="22"/>
          <w:highlight w:val="none"/>
        </w:rPr>
      </w:pPr>
      <w:r>
        <w:rPr>
          <w:rFonts w:hint="eastAsia" w:ascii="宋体" w:hAnsi="宋体" w:cs="宋体"/>
          <w:b/>
          <w:bCs/>
          <w:color w:val="auto"/>
          <w:kern w:val="0"/>
          <w:szCs w:val="22"/>
          <w:highlight w:val="none"/>
        </w:rPr>
        <w:t>四、投标供应商的资格要求:</w:t>
      </w:r>
    </w:p>
    <w:p>
      <w:pPr>
        <w:widowControl/>
        <w:snapToGrid w:val="0"/>
        <w:spacing w:line="360" w:lineRule="auto"/>
        <w:ind w:left="451" w:leftChars="205"/>
        <w:jc w:val="left"/>
        <w:rPr>
          <w:rFonts w:hint="eastAsia" w:ascii="宋体" w:hAnsi="宋体" w:cs="宋体"/>
          <w:color w:val="auto"/>
          <w:kern w:val="0"/>
          <w:szCs w:val="22"/>
          <w:highlight w:val="none"/>
        </w:rPr>
      </w:pPr>
      <w:r>
        <w:rPr>
          <w:rFonts w:hint="eastAsia" w:ascii="宋体" w:hAnsi="宋体" w:cs="宋体"/>
          <w:color w:val="auto"/>
          <w:kern w:val="0"/>
          <w:szCs w:val="22"/>
          <w:highlight w:val="none"/>
        </w:rPr>
        <w:t>1、</w:t>
      </w:r>
      <w:r>
        <w:rPr>
          <w:rFonts w:hint="eastAsia" w:ascii="宋体" w:hAnsi="宋体" w:cs="宋体"/>
          <w:color w:val="auto"/>
          <w:szCs w:val="22"/>
          <w:highlight w:val="none"/>
        </w:rPr>
        <w:t>供应商</w:t>
      </w:r>
      <w:r>
        <w:rPr>
          <w:rFonts w:hint="eastAsia" w:ascii="宋体" w:hAnsi="宋体" w:cs="宋体"/>
          <w:color w:val="auto"/>
          <w:kern w:val="0"/>
          <w:szCs w:val="22"/>
          <w:highlight w:val="none"/>
        </w:rPr>
        <w:t>须符合《平阳县国有企业采购管理办法（试行）》第十二条对投标主体的要求；</w:t>
      </w:r>
    </w:p>
    <w:p>
      <w:pPr>
        <w:widowControl/>
        <w:snapToGrid w:val="0"/>
        <w:spacing w:line="360" w:lineRule="auto"/>
        <w:ind w:left="451" w:leftChars="205"/>
        <w:jc w:val="left"/>
        <w:rPr>
          <w:rFonts w:hint="eastAsia" w:hAnsi="宋体"/>
          <w:color w:val="auto"/>
          <w:szCs w:val="22"/>
          <w:highlight w:val="none"/>
        </w:rPr>
      </w:pPr>
      <w:r>
        <w:rPr>
          <w:rFonts w:hAnsi="宋体"/>
          <w:color w:val="auto"/>
          <w:kern w:val="0"/>
          <w:sz w:val="27"/>
          <w:szCs w:val="27"/>
          <w:highlight w:val="none"/>
          <w:shd w:val="clear" w:color="auto" w:fill="FFFFFF"/>
          <w:lang w:bidi="ar"/>
        </w:rPr>
        <w:t>（</w:t>
      </w:r>
      <w:r>
        <w:rPr>
          <w:rFonts w:hint="eastAsia" w:hAnsi="宋体"/>
          <w:color w:val="auto"/>
          <w:szCs w:val="22"/>
          <w:highlight w:val="none"/>
        </w:rPr>
        <w:t>一）具有独立承担民事责任的能力；</w:t>
      </w:r>
    </w:p>
    <w:p>
      <w:pPr>
        <w:widowControl/>
        <w:snapToGrid w:val="0"/>
        <w:spacing w:line="360" w:lineRule="auto"/>
        <w:ind w:left="451" w:leftChars="205"/>
        <w:jc w:val="left"/>
        <w:rPr>
          <w:rFonts w:hint="eastAsia" w:hAnsi="宋体"/>
          <w:color w:val="auto"/>
          <w:szCs w:val="22"/>
          <w:highlight w:val="none"/>
        </w:rPr>
      </w:pPr>
      <w:r>
        <w:rPr>
          <w:rFonts w:hint="eastAsia" w:hAnsi="宋体"/>
          <w:color w:val="auto"/>
          <w:szCs w:val="22"/>
          <w:highlight w:val="none"/>
        </w:rPr>
        <w:t>（二）具有良好的商业信誉和健全的财务会计制度；</w:t>
      </w:r>
    </w:p>
    <w:p>
      <w:pPr>
        <w:widowControl/>
        <w:snapToGrid w:val="0"/>
        <w:spacing w:line="360" w:lineRule="auto"/>
        <w:ind w:left="451" w:leftChars="205"/>
        <w:jc w:val="left"/>
        <w:rPr>
          <w:rFonts w:hint="eastAsia" w:hAnsi="宋体"/>
          <w:color w:val="auto"/>
          <w:szCs w:val="22"/>
          <w:highlight w:val="none"/>
        </w:rPr>
      </w:pPr>
      <w:r>
        <w:rPr>
          <w:rFonts w:hint="eastAsia" w:hAnsi="宋体"/>
          <w:color w:val="auto"/>
          <w:szCs w:val="22"/>
          <w:highlight w:val="none"/>
        </w:rPr>
        <w:t>（三）具有履行合同所必需的设备和专业技术、售后保障等能力；</w:t>
      </w:r>
    </w:p>
    <w:p>
      <w:pPr>
        <w:widowControl/>
        <w:snapToGrid w:val="0"/>
        <w:spacing w:line="360" w:lineRule="auto"/>
        <w:ind w:left="451" w:leftChars="205"/>
        <w:jc w:val="left"/>
        <w:rPr>
          <w:rFonts w:hint="eastAsia" w:hAnsi="宋体"/>
          <w:color w:val="auto"/>
          <w:szCs w:val="22"/>
          <w:highlight w:val="none"/>
        </w:rPr>
      </w:pPr>
      <w:r>
        <w:rPr>
          <w:rFonts w:hint="eastAsia" w:hAnsi="宋体"/>
          <w:color w:val="auto"/>
          <w:szCs w:val="22"/>
          <w:highlight w:val="none"/>
        </w:rPr>
        <w:t>（四）有依法缴纳税收和社会保障资金的良好记录；</w:t>
      </w:r>
    </w:p>
    <w:p>
      <w:pPr>
        <w:widowControl/>
        <w:snapToGrid w:val="0"/>
        <w:spacing w:line="360" w:lineRule="auto"/>
        <w:ind w:left="451" w:leftChars="205"/>
        <w:jc w:val="left"/>
        <w:rPr>
          <w:rFonts w:hint="eastAsia" w:hAnsi="宋体"/>
          <w:color w:val="auto"/>
          <w:szCs w:val="22"/>
          <w:highlight w:val="none"/>
        </w:rPr>
      </w:pPr>
      <w:r>
        <w:rPr>
          <w:rFonts w:hint="eastAsia" w:hAnsi="宋体"/>
          <w:color w:val="auto"/>
          <w:szCs w:val="22"/>
          <w:highlight w:val="none"/>
        </w:rPr>
        <w:t>（五）参加采购、招投标等活动前三年内，在经营活动中没有重大违法记录和行贿记录；</w:t>
      </w:r>
    </w:p>
    <w:p>
      <w:pPr>
        <w:widowControl/>
        <w:snapToGrid w:val="0"/>
        <w:spacing w:line="360" w:lineRule="auto"/>
        <w:ind w:left="451" w:leftChars="205"/>
        <w:jc w:val="left"/>
        <w:rPr>
          <w:rFonts w:hint="eastAsia" w:hAnsi="宋体"/>
          <w:color w:val="auto"/>
          <w:szCs w:val="22"/>
          <w:highlight w:val="none"/>
        </w:rPr>
      </w:pPr>
      <w:r>
        <w:rPr>
          <w:rFonts w:hint="eastAsia" w:hAnsi="宋体"/>
          <w:color w:val="auto"/>
          <w:szCs w:val="22"/>
          <w:highlight w:val="none"/>
        </w:rPr>
        <w:t>（六）法律、行政法规规定的其他条件。</w:t>
      </w:r>
    </w:p>
    <w:p>
      <w:pPr>
        <w:widowControl/>
        <w:snapToGrid w:val="0"/>
        <w:spacing w:line="360" w:lineRule="auto"/>
        <w:ind w:left="451" w:leftChars="205"/>
        <w:jc w:val="left"/>
        <w:rPr>
          <w:rFonts w:hint="eastAsia" w:hAnsi="宋体"/>
          <w:color w:val="auto"/>
          <w:szCs w:val="22"/>
          <w:highlight w:val="none"/>
        </w:rPr>
      </w:pPr>
      <w:r>
        <w:rPr>
          <w:rFonts w:hint="eastAsia" w:hAnsi="宋体"/>
          <w:color w:val="auto"/>
          <w:szCs w:val="22"/>
          <w:highlight w:val="none"/>
        </w:rPr>
        <w:t>2、供应商应须是所投车辆的制造商或经销商</w:t>
      </w:r>
    </w:p>
    <w:p>
      <w:pPr>
        <w:widowControl/>
        <w:snapToGrid w:val="0"/>
        <w:spacing w:line="360" w:lineRule="auto"/>
        <w:ind w:left="451" w:leftChars="205"/>
        <w:jc w:val="left"/>
        <w:rPr>
          <w:rFonts w:hint="eastAsia" w:hAnsi="宋体"/>
          <w:color w:val="auto"/>
          <w:szCs w:val="22"/>
          <w:highlight w:val="none"/>
        </w:rPr>
      </w:pPr>
      <w:r>
        <w:rPr>
          <w:rFonts w:hint="eastAsia" w:hAnsi="宋体" w:eastAsia="宋体"/>
          <w:color w:val="auto"/>
          <w:szCs w:val="22"/>
          <w:highlight w:val="none"/>
          <w:lang w:val="en-US" w:eastAsia="zh-CN"/>
        </w:rPr>
        <w:t>3</w:t>
      </w:r>
      <w:r>
        <w:rPr>
          <w:rFonts w:hint="eastAsia" w:hAnsi="宋体"/>
          <w:color w:val="auto"/>
          <w:szCs w:val="22"/>
          <w:highlight w:val="none"/>
        </w:rPr>
        <w:t>、本项目不接受联合体投标。</w:t>
      </w:r>
    </w:p>
    <w:p>
      <w:pPr>
        <w:widowControl/>
        <w:snapToGrid w:val="0"/>
        <w:spacing w:line="360" w:lineRule="auto"/>
        <w:rPr>
          <w:rFonts w:hint="eastAsia" w:ascii="宋体" w:hAnsi="宋体" w:cs="宋体"/>
          <w:color w:val="auto"/>
          <w:kern w:val="0"/>
          <w:szCs w:val="22"/>
          <w:highlight w:val="none"/>
        </w:rPr>
      </w:pPr>
      <w:r>
        <w:rPr>
          <w:rFonts w:hint="eastAsia" w:ascii="宋体" w:hAnsi="宋体" w:cs="宋体"/>
          <w:b/>
          <w:color w:val="auto"/>
          <w:szCs w:val="22"/>
          <w:highlight w:val="none"/>
        </w:rPr>
        <w:t>五、招标文件的报名/发售时间、地址、售价：</w:t>
      </w:r>
    </w:p>
    <w:p>
      <w:pPr>
        <w:snapToGrid w:val="0"/>
        <w:spacing w:line="360" w:lineRule="auto"/>
        <w:rPr>
          <w:rFonts w:hint="eastAsia" w:ascii="宋体" w:hAnsi="宋体" w:cs="宋体"/>
          <w:b/>
          <w:bCs/>
          <w:color w:val="auto"/>
          <w:szCs w:val="22"/>
          <w:highlight w:val="none"/>
        </w:rPr>
      </w:pPr>
      <w:r>
        <w:rPr>
          <w:rFonts w:hint="eastAsia" w:ascii="宋体" w:hAnsi="宋体" w:cs="宋体"/>
          <w:b/>
          <w:color w:val="auto"/>
          <w:szCs w:val="22"/>
          <w:highlight w:val="none"/>
          <w:lang w:val="zh-CN"/>
        </w:rPr>
        <w:t xml:space="preserve">    本项目采用资格后审，无需提前报名。</w:t>
      </w:r>
      <w:r>
        <w:rPr>
          <w:rFonts w:hint="eastAsia" w:ascii="宋体" w:hAnsi="宋体" w:cs="宋体"/>
          <w:color w:val="auto"/>
          <w:szCs w:val="22"/>
          <w:highlight w:val="none"/>
          <w:lang w:val="zh-CN"/>
        </w:rPr>
        <w:t>符合资格要求的供应商均可在本公告附件下载招标文件（招标文件售价：500元），</w:t>
      </w:r>
      <w:r>
        <w:rPr>
          <w:rFonts w:hint="eastAsia" w:ascii="宋体" w:hAnsi="宋体" w:cs="宋体"/>
          <w:color w:val="auto"/>
          <w:szCs w:val="22"/>
          <w:highlight w:val="none"/>
        </w:rPr>
        <w:t>按规定并按招标文件规定的时间、地点递交投标文件（招标文件下载网址：</w:t>
      </w:r>
      <w:r>
        <w:rPr>
          <w:rFonts w:hint="eastAsia" w:ascii="宋体" w:hAnsi="宋体" w:cs="宋体"/>
          <w:b/>
          <w:color w:val="auto"/>
          <w:szCs w:val="22"/>
          <w:highlight w:val="none"/>
        </w:rPr>
        <w:t xml:space="preserve">http:// </w:t>
      </w:r>
      <w:r>
        <w:rPr>
          <w:rFonts w:hint="eastAsia" w:ascii="宋体" w:hAnsi="宋体" w:cs="宋体"/>
          <w:b/>
          <w:color w:val="auto"/>
          <w:szCs w:val="22"/>
          <w:highlight w:val="none"/>
        </w:rPr>
        <w:fldChar w:fldCharType="begin"/>
      </w:r>
      <w:r>
        <w:rPr>
          <w:rFonts w:hint="eastAsia" w:ascii="宋体" w:hAnsi="宋体" w:cs="宋体"/>
          <w:b/>
          <w:color w:val="auto"/>
          <w:szCs w:val="22"/>
          <w:highlight w:val="none"/>
        </w:rPr>
        <w:instrText xml:space="preserve"> HYPERLINK "http://www.pyztb.com/" </w:instrText>
      </w:r>
      <w:r>
        <w:rPr>
          <w:rFonts w:hint="eastAsia" w:ascii="宋体" w:hAnsi="宋体" w:cs="宋体"/>
          <w:b/>
          <w:color w:val="auto"/>
          <w:szCs w:val="22"/>
          <w:highlight w:val="none"/>
        </w:rPr>
        <w:fldChar w:fldCharType="separate"/>
      </w:r>
      <w:r>
        <w:rPr>
          <w:rStyle w:val="49"/>
          <w:rFonts w:hint="eastAsia" w:ascii="宋体" w:hAnsi="宋体" w:cs="宋体"/>
          <w:b/>
          <w:color w:val="auto"/>
          <w:szCs w:val="22"/>
          <w:highlight w:val="none"/>
        </w:rPr>
        <w:t>www.pyztb.com/</w:t>
      </w:r>
      <w:r>
        <w:rPr>
          <w:rFonts w:hint="eastAsia" w:ascii="宋体" w:hAnsi="宋体" w:cs="宋体"/>
          <w:b/>
          <w:color w:val="auto"/>
          <w:szCs w:val="22"/>
          <w:highlight w:val="none"/>
        </w:rPr>
        <w:fldChar w:fldCharType="end"/>
      </w:r>
      <w:r>
        <w:rPr>
          <w:rFonts w:hint="eastAsia" w:ascii="宋体" w:hAnsi="宋体" w:cs="宋体"/>
          <w:color w:val="auto"/>
          <w:szCs w:val="22"/>
          <w:highlight w:val="none"/>
        </w:rPr>
        <w:t>或</w:t>
      </w:r>
      <w:r>
        <w:rPr>
          <w:rFonts w:hint="eastAsia" w:ascii="宋体" w:hAnsi="宋体" w:cs="宋体"/>
          <w:b/>
          <w:color w:val="auto"/>
          <w:szCs w:val="22"/>
          <w:highlight w:val="none"/>
          <w:u w:val="single"/>
        </w:rPr>
        <w:t>http://www.zjzfcg.gov.cn</w:t>
      </w:r>
      <w:r>
        <w:rPr>
          <w:rFonts w:hint="eastAsia" w:ascii="宋体" w:hAnsi="宋体" w:cs="宋体"/>
          <w:color w:val="auto"/>
          <w:szCs w:val="22"/>
          <w:highlight w:val="none"/>
        </w:rPr>
        <w:t>,招标文件如有补充更正均见</w:t>
      </w:r>
      <w:r>
        <w:rPr>
          <w:rFonts w:hint="eastAsia" w:ascii="宋体" w:hAnsi="宋体" w:cs="宋体"/>
          <w:b/>
          <w:color w:val="auto"/>
          <w:szCs w:val="22"/>
          <w:highlight w:val="none"/>
        </w:rPr>
        <w:t xml:space="preserve">http:// </w:t>
      </w:r>
      <w:r>
        <w:rPr>
          <w:rFonts w:hint="eastAsia" w:ascii="宋体" w:hAnsi="宋体" w:cs="宋体"/>
          <w:b/>
          <w:color w:val="auto"/>
          <w:szCs w:val="22"/>
          <w:highlight w:val="none"/>
        </w:rPr>
        <w:fldChar w:fldCharType="begin"/>
      </w:r>
      <w:r>
        <w:rPr>
          <w:rFonts w:hint="eastAsia" w:ascii="宋体" w:hAnsi="宋体" w:cs="宋体"/>
          <w:b/>
          <w:color w:val="auto"/>
          <w:szCs w:val="22"/>
          <w:highlight w:val="none"/>
        </w:rPr>
        <w:instrText xml:space="preserve"> HYPERLINK "http://www.pyztb.com/" </w:instrText>
      </w:r>
      <w:r>
        <w:rPr>
          <w:rFonts w:hint="eastAsia" w:ascii="宋体" w:hAnsi="宋体" w:cs="宋体"/>
          <w:b/>
          <w:color w:val="auto"/>
          <w:szCs w:val="22"/>
          <w:highlight w:val="none"/>
        </w:rPr>
        <w:fldChar w:fldCharType="separate"/>
      </w:r>
      <w:r>
        <w:rPr>
          <w:rStyle w:val="49"/>
          <w:rFonts w:hint="eastAsia" w:ascii="宋体" w:hAnsi="宋体" w:cs="宋体"/>
          <w:b/>
          <w:color w:val="auto"/>
          <w:szCs w:val="22"/>
          <w:highlight w:val="none"/>
        </w:rPr>
        <w:t>www.pyztb.com/</w:t>
      </w:r>
      <w:r>
        <w:rPr>
          <w:rFonts w:hint="eastAsia" w:ascii="宋体" w:hAnsi="宋体" w:cs="宋体"/>
          <w:b/>
          <w:color w:val="auto"/>
          <w:szCs w:val="22"/>
          <w:highlight w:val="none"/>
        </w:rPr>
        <w:fldChar w:fldCharType="end"/>
      </w:r>
      <w:r>
        <w:rPr>
          <w:rFonts w:hint="eastAsia" w:ascii="宋体" w:hAnsi="宋体" w:cs="宋体"/>
          <w:b/>
          <w:color w:val="auto"/>
          <w:szCs w:val="22"/>
          <w:highlight w:val="none"/>
        </w:rPr>
        <w:t>、</w:t>
      </w:r>
      <w:r>
        <w:rPr>
          <w:rFonts w:hint="eastAsia" w:ascii="宋体" w:hAnsi="宋体" w:cs="宋体"/>
          <w:b/>
          <w:color w:val="auto"/>
          <w:szCs w:val="22"/>
          <w:highlight w:val="none"/>
          <w:u w:val="single"/>
        </w:rPr>
        <w:t>http://www.zjzfcg.gov.cn</w:t>
      </w:r>
      <w:r>
        <w:rPr>
          <w:rFonts w:hint="eastAsia" w:ascii="宋体" w:hAnsi="宋体" w:cs="宋体"/>
          <w:color w:val="auto"/>
          <w:szCs w:val="22"/>
          <w:highlight w:val="none"/>
        </w:rPr>
        <w:t>）。</w:t>
      </w:r>
    </w:p>
    <w:p>
      <w:pPr>
        <w:widowControl/>
        <w:snapToGrid w:val="0"/>
        <w:spacing w:line="360" w:lineRule="auto"/>
        <w:ind w:left="451" w:hanging="451" w:hangingChars="204"/>
        <w:jc w:val="left"/>
        <w:rPr>
          <w:rFonts w:hint="eastAsia" w:ascii="宋体" w:hAnsi="宋体" w:cs="宋体"/>
          <w:color w:val="auto"/>
          <w:kern w:val="0"/>
          <w:szCs w:val="22"/>
          <w:highlight w:val="none"/>
        </w:rPr>
      </w:pPr>
      <w:r>
        <w:rPr>
          <w:rFonts w:hint="eastAsia" w:ascii="宋体" w:hAnsi="宋体" w:cs="宋体"/>
          <w:b/>
          <w:bCs/>
          <w:color w:val="auto"/>
          <w:kern w:val="0"/>
          <w:szCs w:val="22"/>
          <w:highlight w:val="none"/>
        </w:rPr>
        <w:t>六、投标截止时间：</w:t>
      </w:r>
      <w:r>
        <w:rPr>
          <w:rFonts w:hint="eastAsia" w:ascii="宋体" w:hAnsi="宋体" w:cs="宋体"/>
          <w:color w:val="auto"/>
          <w:kern w:val="0"/>
          <w:szCs w:val="22"/>
          <w:highlight w:val="none"/>
        </w:rPr>
        <w:t>202</w:t>
      </w:r>
      <w:r>
        <w:rPr>
          <w:rFonts w:hint="eastAsia" w:ascii="宋体" w:hAnsi="宋体" w:cs="宋体"/>
          <w:color w:val="auto"/>
          <w:kern w:val="0"/>
          <w:szCs w:val="22"/>
          <w:highlight w:val="none"/>
          <w:lang w:val="en-US" w:eastAsia="zh-CN"/>
        </w:rPr>
        <w:t>1</w:t>
      </w:r>
      <w:r>
        <w:rPr>
          <w:rFonts w:hint="eastAsia" w:ascii="宋体" w:hAnsi="宋体" w:cs="宋体"/>
          <w:color w:val="auto"/>
          <w:kern w:val="0"/>
          <w:szCs w:val="22"/>
          <w:highlight w:val="none"/>
        </w:rPr>
        <w:t>年</w:t>
      </w:r>
      <w:r>
        <w:rPr>
          <w:rFonts w:hint="eastAsia" w:ascii="宋体" w:hAnsi="宋体" w:eastAsia="宋体" w:cs="宋体"/>
          <w:color w:val="auto"/>
          <w:kern w:val="0"/>
          <w:szCs w:val="22"/>
          <w:highlight w:val="none"/>
          <w:lang w:val="en-US" w:eastAsia="zh-CN"/>
        </w:rPr>
        <w:t xml:space="preserve">  </w:t>
      </w:r>
      <w:r>
        <w:rPr>
          <w:rFonts w:hint="eastAsia" w:ascii="宋体" w:hAnsi="宋体" w:cs="宋体"/>
          <w:color w:val="auto"/>
          <w:kern w:val="0"/>
          <w:szCs w:val="22"/>
          <w:highlight w:val="none"/>
        </w:rPr>
        <w:t>月</w:t>
      </w:r>
      <w:r>
        <w:rPr>
          <w:rFonts w:hint="eastAsia" w:ascii="宋体" w:hAnsi="宋体" w:eastAsia="宋体" w:cs="宋体"/>
          <w:color w:val="auto"/>
          <w:kern w:val="0"/>
          <w:szCs w:val="22"/>
          <w:highlight w:val="none"/>
          <w:lang w:val="en-US" w:eastAsia="zh-CN"/>
        </w:rPr>
        <w:t xml:space="preserve">  </w:t>
      </w:r>
      <w:r>
        <w:rPr>
          <w:rFonts w:hint="eastAsia" w:ascii="宋体" w:hAnsi="宋体" w:cs="宋体"/>
          <w:color w:val="auto"/>
          <w:kern w:val="0"/>
          <w:szCs w:val="22"/>
          <w:highlight w:val="none"/>
        </w:rPr>
        <w:t>日  上午09：30（本招标文件所涉及时间均为北京时间）</w:t>
      </w:r>
    </w:p>
    <w:p>
      <w:pPr>
        <w:widowControl/>
        <w:snapToGrid w:val="0"/>
        <w:spacing w:line="360" w:lineRule="auto"/>
        <w:ind w:left="451" w:hanging="451" w:hangingChars="204"/>
        <w:jc w:val="left"/>
        <w:rPr>
          <w:rFonts w:hint="eastAsia" w:ascii="宋体" w:hAnsi="宋体" w:cs="宋体"/>
          <w:color w:val="auto"/>
          <w:kern w:val="0"/>
          <w:szCs w:val="22"/>
          <w:highlight w:val="none"/>
        </w:rPr>
      </w:pPr>
      <w:r>
        <w:rPr>
          <w:rFonts w:hint="eastAsia" w:ascii="宋体" w:hAnsi="宋体" w:cs="宋体"/>
          <w:b/>
          <w:bCs/>
          <w:color w:val="auto"/>
          <w:kern w:val="0"/>
          <w:szCs w:val="22"/>
          <w:highlight w:val="none"/>
        </w:rPr>
        <w:t>七、投标地点：</w:t>
      </w:r>
      <w:r>
        <w:rPr>
          <w:rFonts w:hint="eastAsia" w:ascii="宋体" w:hAnsi="宋体" w:cs="宋体"/>
          <w:color w:val="auto"/>
          <w:kern w:val="0"/>
          <w:szCs w:val="22"/>
          <w:highlight w:val="none"/>
        </w:rPr>
        <w:t>平阳县公共资源交易中心二楼大厅（平阳县鳌江镇火车站大道和谐家园二楼）</w:t>
      </w:r>
    </w:p>
    <w:p>
      <w:pPr>
        <w:widowControl/>
        <w:snapToGrid w:val="0"/>
        <w:spacing w:line="360" w:lineRule="auto"/>
        <w:ind w:left="451" w:hanging="451" w:hangingChars="204"/>
        <w:jc w:val="left"/>
        <w:rPr>
          <w:rFonts w:hint="eastAsia" w:ascii="宋体" w:hAnsi="宋体" w:cs="宋体"/>
          <w:color w:val="auto"/>
          <w:kern w:val="0"/>
          <w:szCs w:val="22"/>
          <w:highlight w:val="none"/>
        </w:rPr>
      </w:pPr>
      <w:r>
        <w:rPr>
          <w:rFonts w:hint="eastAsia" w:ascii="宋体" w:hAnsi="宋体" w:cs="宋体"/>
          <w:b/>
          <w:bCs/>
          <w:color w:val="auto"/>
          <w:kern w:val="0"/>
          <w:szCs w:val="22"/>
          <w:highlight w:val="none"/>
        </w:rPr>
        <w:t>八、开标时间：</w:t>
      </w:r>
      <w:r>
        <w:rPr>
          <w:rFonts w:hint="eastAsia" w:ascii="宋体" w:hAnsi="宋体" w:cs="宋体"/>
          <w:color w:val="auto"/>
          <w:kern w:val="0"/>
          <w:szCs w:val="22"/>
          <w:highlight w:val="none"/>
        </w:rPr>
        <w:t>202</w:t>
      </w:r>
      <w:r>
        <w:rPr>
          <w:rFonts w:hint="eastAsia" w:ascii="宋体" w:hAnsi="宋体" w:cs="宋体"/>
          <w:color w:val="auto"/>
          <w:kern w:val="0"/>
          <w:szCs w:val="22"/>
          <w:highlight w:val="none"/>
          <w:lang w:val="en-US" w:eastAsia="zh-CN"/>
        </w:rPr>
        <w:t>1</w:t>
      </w:r>
      <w:r>
        <w:rPr>
          <w:rFonts w:hint="eastAsia" w:ascii="宋体" w:hAnsi="宋体" w:cs="宋体"/>
          <w:color w:val="auto"/>
          <w:kern w:val="0"/>
          <w:szCs w:val="22"/>
          <w:highlight w:val="none"/>
        </w:rPr>
        <w:t>年</w:t>
      </w:r>
      <w:r>
        <w:rPr>
          <w:rFonts w:hint="eastAsia" w:ascii="宋体" w:hAnsi="宋体" w:eastAsia="宋体" w:cs="宋体"/>
          <w:color w:val="auto"/>
          <w:kern w:val="0"/>
          <w:szCs w:val="22"/>
          <w:highlight w:val="none"/>
          <w:lang w:val="en-US" w:eastAsia="zh-CN"/>
        </w:rPr>
        <w:t xml:space="preserve">  </w:t>
      </w:r>
      <w:r>
        <w:rPr>
          <w:rFonts w:hint="eastAsia" w:ascii="宋体" w:hAnsi="宋体" w:cs="宋体"/>
          <w:color w:val="auto"/>
          <w:kern w:val="0"/>
          <w:szCs w:val="22"/>
          <w:highlight w:val="none"/>
        </w:rPr>
        <w:t>月</w:t>
      </w:r>
      <w:r>
        <w:rPr>
          <w:rFonts w:hint="eastAsia" w:ascii="宋体" w:hAnsi="宋体" w:eastAsia="宋体" w:cs="宋体"/>
          <w:color w:val="auto"/>
          <w:kern w:val="0"/>
          <w:szCs w:val="22"/>
          <w:highlight w:val="none"/>
          <w:lang w:val="en-US" w:eastAsia="zh-CN"/>
        </w:rPr>
        <w:t xml:space="preserve">  </w:t>
      </w:r>
      <w:r>
        <w:rPr>
          <w:rFonts w:hint="eastAsia" w:ascii="宋体" w:hAnsi="宋体" w:cs="宋体"/>
          <w:color w:val="auto"/>
          <w:kern w:val="0"/>
          <w:szCs w:val="22"/>
          <w:highlight w:val="none"/>
        </w:rPr>
        <w:t>日  上午09：30</w:t>
      </w:r>
    </w:p>
    <w:p>
      <w:pPr>
        <w:widowControl/>
        <w:snapToGrid w:val="0"/>
        <w:spacing w:line="360" w:lineRule="auto"/>
        <w:ind w:left="451" w:hanging="451" w:hangingChars="204"/>
        <w:jc w:val="left"/>
        <w:rPr>
          <w:rFonts w:hint="eastAsia" w:ascii="宋体" w:hAnsi="宋体" w:cs="宋体"/>
          <w:color w:val="auto"/>
          <w:kern w:val="0"/>
          <w:szCs w:val="22"/>
          <w:highlight w:val="none"/>
        </w:rPr>
      </w:pPr>
      <w:r>
        <w:rPr>
          <w:rFonts w:hint="eastAsia" w:ascii="宋体" w:hAnsi="宋体" w:cs="宋体"/>
          <w:b/>
          <w:bCs/>
          <w:color w:val="auto"/>
          <w:kern w:val="0"/>
          <w:szCs w:val="22"/>
          <w:highlight w:val="none"/>
        </w:rPr>
        <w:t>九、开标地点：</w:t>
      </w:r>
      <w:r>
        <w:rPr>
          <w:rFonts w:hint="eastAsia" w:ascii="宋体" w:hAnsi="宋体" w:cs="宋体"/>
          <w:color w:val="auto"/>
          <w:kern w:val="0"/>
          <w:szCs w:val="22"/>
          <w:highlight w:val="none"/>
        </w:rPr>
        <w:t>平阳县公共资源交易中心二楼开标室（平阳县鳌江镇火车站大道和谐家园二楼）</w:t>
      </w:r>
    </w:p>
    <w:p>
      <w:pPr>
        <w:widowControl/>
        <w:snapToGrid w:val="0"/>
        <w:spacing w:line="360" w:lineRule="auto"/>
        <w:jc w:val="left"/>
        <w:rPr>
          <w:rFonts w:hint="eastAsia" w:ascii="宋体" w:hAnsi="宋体" w:cs="宋体"/>
          <w:color w:val="auto"/>
          <w:kern w:val="0"/>
          <w:szCs w:val="22"/>
          <w:highlight w:val="none"/>
        </w:rPr>
      </w:pPr>
      <w:r>
        <w:rPr>
          <w:rFonts w:hint="eastAsia" w:ascii="宋体" w:hAnsi="宋体" w:cs="宋体"/>
          <w:b/>
          <w:bCs/>
          <w:color w:val="auto"/>
          <w:kern w:val="0"/>
          <w:szCs w:val="22"/>
          <w:highlight w:val="none"/>
        </w:rPr>
        <w:t>十、投标保证金及交付方式（</w:t>
      </w:r>
      <w:r>
        <w:rPr>
          <w:rFonts w:hint="eastAsia" w:ascii="宋体" w:hAnsi="宋体" w:cs="宋体"/>
          <w:b/>
          <w:bCs/>
          <w:color w:val="auto"/>
          <w:szCs w:val="22"/>
          <w:highlight w:val="none"/>
        </w:rPr>
        <w:t>未按规定交纳将作无效投标处理）</w:t>
      </w:r>
      <w:r>
        <w:rPr>
          <w:rFonts w:hint="eastAsia" w:ascii="宋体" w:hAnsi="宋体" w:cs="宋体"/>
          <w:b/>
          <w:bCs/>
          <w:color w:val="auto"/>
          <w:kern w:val="0"/>
          <w:szCs w:val="22"/>
          <w:highlight w:val="none"/>
        </w:rPr>
        <w:t>：</w:t>
      </w:r>
    </w:p>
    <w:p>
      <w:pPr>
        <w:snapToGrid w:val="0"/>
        <w:spacing w:line="360" w:lineRule="auto"/>
        <w:rPr>
          <w:rFonts w:ascii="宋体" w:hAnsi="宋体" w:cs="宋体"/>
          <w:b/>
          <w:szCs w:val="22"/>
          <w:highlight w:val="none"/>
          <w:lang w:val="zh-CN"/>
        </w:rPr>
      </w:pPr>
      <w:r>
        <w:rPr>
          <w:rFonts w:hint="eastAsia" w:ascii="宋体" w:hAnsi="宋体" w:cs="宋体"/>
          <w:b/>
          <w:color w:val="auto"/>
          <w:szCs w:val="22"/>
          <w:highlight w:val="none"/>
          <w:lang w:val="zh-CN"/>
        </w:rPr>
        <w:t xml:space="preserve">   </w:t>
      </w:r>
      <w:r>
        <w:rPr>
          <w:rFonts w:hint="eastAsia" w:ascii="宋体" w:hAnsi="宋体" w:cs="宋体"/>
          <w:b/>
          <w:szCs w:val="22"/>
          <w:highlight w:val="none"/>
          <w:lang w:val="en-US" w:eastAsia="zh-CN"/>
        </w:rPr>
        <w:t>标项一</w:t>
      </w:r>
      <w:r>
        <w:rPr>
          <w:rFonts w:hint="eastAsia" w:ascii="宋体" w:hAnsi="宋体" w:cs="宋体"/>
          <w:b/>
          <w:szCs w:val="22"/>
          <w:highlight w:val="none"/>
          <w:lang w:val="zh-CN"/>
        </w:rPr>
        <w:t>投标保证金：</w:t>
      </w:r>
      <w:r>
        <w:rPr>
          <w:rFonts w:hint="eastAsia" w:ascii="宋体" w:hAnsi="宋体" w:cs="宋体"/>
          <w:b/>
          <w:szCs w:val="22"/>
          <w:highlight w:val="none"/>
          <w:lang w:val="en-US" w:eastAsia="zh-CN"/>
        </w:rPr>
        <w:t>40000</w:t>
      </w:r>
      <w:r>
        <w:rPr>
          <w:rFonts w:hint="eastAsia" w:ascii="宋体" w:hAnsi="宋体" w:cs="宋体"/>
          <w:b/>
          <w:szCs w:val="22"/>
          <w:highlight w:val="none"/>
          <w:lang w:val="zh-CN"/>
        </w:rPr>
        <w:t>元(大写：</w:t>
      </w:r>
      <w:r>
        <w:rPr>
          <w:rFonts w:hint="eastAsia" w:ascii="宋体" w:hAnsi="宋体" w:cs="宋体"/>
          <w:b/>
          <w:szCs w:val="22"/>
          <w:highlight w:val="none"/>
          <w:lang w:val="en-US" w:eastAsia="zh-CN"/>
        </w:rPr>
        <w:fldChar w:fldCharType="begin"/>
      </w:r>
      <w:r>
        <w:rPr>
          <w:rFonts w:hint="eastAsia" w:ascii="宋体" w:hAnsi="宋体" w:cs="宋体"/>
          <w:b/>
          <w:szCs w:val="22"/>
          <w:highlight w:val="none"/>
          <w:lang w:val="en-US" w:eastAsia="zh-CN"/>
        </w:rPr>
        <w:instrText xml:space="preserve"> = 270000 \* CHINESENUM4 \* MERGEFORMAT </w:instrText>
      </w:r>
      <w:r>
        <w:rPr>
          <w:rFonts w:hint="eastAsia" w:ascii="宋体" w:hAnsi="宋体" w:cs="宋体"/>
          <w:b/>
          <w:szCs w:val="22"/>
          <w:highlight w:val="none"/>
          <w:lang w:val="en-US" w:eastAsia="zh-CN"/>
        </w:rPr>
        <w:fldChar w:fldCharType="separate"/>
      </w:r>
      <w:r>
        <w:rPr>
          <w:rFonts w:hint="eastAsia" w:ascii="宋体" w:hAnsi="宋体" w:cs="宋体"/>
          <w:b/>
          <w:szCs w:val="22"/>
          <w:highlight w:val="none"/>
          <w:lang w:val="en-US" w:eastAsia="zh-CN"/>
        </w:rPr>
        <w:t>肆</w:t>
      </w:r>
      <w:r>
        <w:rPr>
          <w:rFonts w:hint="eastAsia" w:ascii="宋体" w:hAnsi="宋体" w:cs="宋体"/>
          <w:b/>
          <w:szCs w:val="22"/>
          <w:highlight w:val="none"/>
          <w:lang w:val="zh-CN"/>
        </w:rPr>
        <w:t>万元整</w:t>
      </w:r>
      <w:r>
        <w:rPr>
          <w:rFonts w:hint="eastAsia" w:ascii="宋体" w:hAnsi="宋体" w:cs="宋体"/>
          <w:b/>
          <w:szCs w:val="22"/>
          <w:highlight w:val="none"/>
          <w:lang w:val="en-US" w:eastAsia="zh-CN"/>
        </w:rPr>
        <w:fldChar w:fldCharType="end"/>
      </w:r>
      <w:r>
        <w:rPr>
          <w:rFonts w:hint="eastAsia" w:ascii="宋体" w:hAnsi="宋体" w:cs="宋体"/>
          <w:b/>
          <w:szCs w:val="22"/>
          <w:highlight w:val="none"/>
          <w:lang w:val="zh-CN"/>
        </w:rPr>
        <w:t>人民币)；</w:t>
      </w:r>
    </w:p>
    <w:p>
      <w:pPr>
        <w:snapToGrid w:val="0"/>
        <w:spacing w:line="360" w:lineRule="auto"/>
        <w:ind w:firstLine="433" w:firstLineChars="196"/>
        <w:rPr>
          <w:rFonts w:ascii="宋体" w:hAnsi="宋体" w:cs="宋体"/>
          <w:b/>
          <w:szCs w:val="22"/>
          <w:highlight w:val="none"/>
          <w:u w:val="single"/>
        </w:rPr>
      </w:pPr>
      <w:r>
        <w:rPr>
          <w:rFonts w:hint="eastAsia" w:ascii="宋体" w:hAnsi="宋体" w:cs="宋体"/>
          <w:b/>
          <w:szCs w:val="22"/>
          <w:highlight w:val="none"/>
          <w:lang w:val="zh-CN"/>
        </w:rPr>
        <w:t>交付方式：汇票/支票/银行转账/其他结算方式；不得以现金方式存入。</w:t>
      </w:r>
      <w:r>
        <w:rPr>
          <w:rFonts w:hint="eastAsia" w:ascii="宋体" w:hAnsi="宋体" w:cs="宋体"/>
          <w:b/>
          <w:szCs w:val="22"/>
          <w:highlight w:val="none"/>
          <w:u w:val="single"/>
        </w:rPr>
        <w:t>保证金交纳日期：要求2021年  月  日  上午09：30  上午09：30前到账（投标保证金不接受递交现金）</w:t>
      </w:r>
    </w:p>
    <w:p>
      <w:pPr>
        <w:pStyle w:val="21"/>
        <w:spacing w:before="120" w:after="120" w:line="360" w:lineRule="auto"/>
        <w:ind w:left="447" w:right="1470" w:hanging="447"/>
        <w:rPr>
          <w:rFonts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b/>
          <w:szCs w:val="22"/>
          <w:highlight w:val="none"/>
          <w:lang w:val="zh-CN"/>
        </w:rPr>
        <w:t>从以下三个账户任选一个均可</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1、保证金账户: 平阳县公共资源交易中心</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开户银行：平阳县农商银行营业部</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 xml:space="preserve">银行账号： </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2、保证金账户: 平阳县公共资源交易中心</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开户银行：农行平阳县支行</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 xml:space="preserve">银行账号：  </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3、保证金账户: 平阳县公共资源交易中心</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开户银行：中国银行平阳县支行营业部</w:t>
      </w:r>
    </w:p>
    <w:p>
      <w:pPr>
        <w:widowControl/>
        <w:snapToGrid w:val="0"/>
        <w:spacing w:line="396" w:lineRule="auto"/>
        <w:ind w:left="451" w:leftChars="205"/>
        <w:jc w:val="left"/>
        <w:rPr>
          <w:rFonts w:hint="eastAsia" w:ascii="宋体" w:hAnsi="宋体" w:cs="宋体"/>
          <w:b/>
          <w:bCs/>
          <w:kern w:val="0"/>
          <w:szCs w:val="22"/>
          <w:highlight w:val="none"/>
        </w:rPr>
      </w:pPr>
      <w:r>
        <w:rPr>
          <w:rFonts w:hint="eastAsia" w:ascii="宋体" w:hAnsi="宋体" w:cs="宋体"/>
          <w:kern w:val="0"/>
          <w:szCs w:val="22"/>
          <w:highlight w:val="none"/>
        </w:rPr>
        <w:t>银行账号：</w:t>
      </w:r>
      <w:r>
        <w:rPr>
          <w:rFonts w:hint="eastAsia" w:ascii="宋体" w:hAnsi="宋体" w:cs="宋体"/>
          <w:b/>
          <w:bCs/>
          <w:kern w:val="0"/>
          <w:szCs w:val="22"/>
          <w:highlight w:val="none"/>
        </w:rPr>
        <w:t xml:space="preserve">      </w:t>
      </w:r>
    </w:p>
    <w:p>
      <w:pPr>
        <w:snapToGrid w:val="0"/>
        <w:spacing w:line="360" w:lineRule="auto"/>
        <w:rPr>
          <w:rFonts w:hint="eastAsia" w:ascii="宋体" w:hAnsi="宋体" w:cs="宋体"/>
          <w:b/>
          <w:szCs w:val="22"/>
          <w:highlight w:val="none"/>
          <w:lang w:val="zh-CN" w:eastAsia="zh-CN"/>
        </w:rPr>
      </w:pPr>
      <w:r>
        <w:rPr>
          <w:rFonts w:hint="eastAsia" w:ascii="宋体" w:hAnsi="宋体" w:cs="宋体"/>
          <w:b/>
          <w:szCs w:val="22"/>
          <w:highlight w:val="none"/>
          <w:lang w:val="zh-CN"/>
        </w:rPr>
        <w:t xml:space="preserve"> </w:t>
      </w:r>
      <w:r>
        <w:rPr>
          <w:rFonts w:hint="eastAsia" w:ascii="宋体" w:hAnsi="宋体" w:cs="宋体"/>
          <w:b/>
          <w:szCs w:val="22"/>
          <w:highlight w:val="none"/>
          <w:lang w:val="en-US" w:eastAsia="zh-CN"/>
        </w:rPr>
        <w:t>标项二</w:t>
      </w:r>
      <w:r>
        <w:rPr>
          <w:rFonts w:hint="eastAsia" w:ascii="宋体" w:hAnsi="宋体" w:cs="宋体"/>
          <w:b/>
          <w:szCs w:val="22"/>
          <w:highlight w:val="none"/>
          <w:lang w:val="zh-CN" w:eastAsia="zh-CN"/>
        </w:rPr>
        <w:t>投标保证金：</w:t>
      </w:r>
      <w:r>
        <w:rPr>
          <w:rFonts w:hint="eastAsia" w:ascii="宋体" w:hAnsi="宋体" w:cs="宋体"/>
          <w:b/>
          <w:szCs w:val="22"/>
          <w:highlight w:val="none"/>
          <w:lang w:val="en-US" w:eastAsia="zh-CN"/>
        </w:rPr>
        <w:t>150000</w:t>
      </w:r>
      <w:r>
        <w:rPr>
          <w:rFonts w:hint="eastAsia" w:ascii="宋体" w:hAnsi="宋体" w:cs="宋体"/>
          <w:b/>
          <w:szCs w:val="22"/>
          <w:highlight w:val="none"/>
          <w:lang w:val="zh-CN" w:eastAsia="zh-CN"/>
        </w:rPr>
        <w:t>元(大写：</w:t>
      </w:r>
      <w:r>
        <w:rPr>
          <w:rFonts w:hint="eastAsia" w:ascii="宋体" w:hAnsi="宋体" w:cs="宋体"/>
          <w:b/>
          <w:szCs w:val="22"/>
          <w:highlight w:val="none"/>
          <w:lang w:val="en-US" w:eastAsia="zh-CN"/>
        </w:rPr>
        <w:fldChar w:fldCharType="begin"/>
      </w:r>
      <w:r>
        <w:rPr>
          <w:rFonts w:hint="eastAsia" w:ascii="宋体" w:hAnsi="宋体" w:cs="宋体"/>
          <w:b/>
          <w:szCs w:val="22"/>
          <w:highlight w:val="none"/>
          <w:lang w:val="en-US" w:eastAsia="zh-CN"/>
        </w:rPr>
        <w:instrText xml:space="preserve"> = 270000 \* CHINESENUM4 \* MERGEFORMAT </w:instrText>
      </w:r>
      <w:r>
        <w:rPr>
          <w:rFonts w:hint="eastAsia" w:ascii="宋体" w:hAnsi="宋体" w:cs="宋体"/>
          <w:b/>
          <w:szCs w:val="22"/>
          <w:highlight w:val="none"/>
          <w:lang w:val="en-US" w:eastAsia="zh-CN"/>
        </w:rPr>
        <w:fldChar w:fldCharType="separate"/>
      </w:r>
      <w:r>
        <w:rPr>
          <w:rFonts w:hint="eastAsia" w:ascii="宋体" w:hAnsi="宋体" w:cs="宋体"/>
          <w:b/>
          <w:szCs w:val="22"/>
          <w:highlight w:val="none"/>
          <w:lang w:val="en-US" w:eastAsia="zh-CN"/>
        </w:rPr>
        <w:t>拾伍万元整</w:t>
      </w:r>
      <w:r>
        <w:rPr>
          <w:rFonts w:hint="eastAsia" w:ascii="宋体" w:hAnsi="宋体" w:cs="宋体"/>
          <w:b/>
          <w:szCs w:val="22"/>
          <w:highlight w:val="none"/>
          <w:lang w:val="en-US" w:eastAsia="zh-CN"/>
        </w:rPr>
        <w:fldChar w:fldCharType="end"/>
      </w:r>
      <w:r>
        <w:rPr>
          <w:rFonts w:hint="eastAsia" w:ascii="宋体" w:hAnsi="宋体" w:cs="宋体"/>
          <w:b/>
          <w:szCs w:val="22"/>
          <w:highlight w:val="none"/>
          <w:lang w:val="zh-CN" w:eastAsia="zh-CN"/>
        </w:rPr>
        <w:t>人民币)；</w:t>
      </w:r>
    </w:p>
    <w:p>
      <w:pPr>
        <w:snapToGrid w:val="0"/>
        <w:spacing w:line="360" w:lineRule="auto"/>
        <w:ind w:firstLine="433" w:firstLineChars="196"/>
        <w:rPr>
          <w:rFonts w:ascii="宋体" w:hAnsi="宋体" w:cs="宋体"/>
          <w:b/>
          <w:szCs w:val="22"/>
          <w:highlight w:val="none"/>
          <w:u w:val="single"/>
        </w:rPr>
      </w:pPr>
      <w:r>
        <w:rPr>
          <w:rFonts w:hint="eastAsia" w:ascii="宋体" w:hAnsi="宋体" w:cs="宋体"/>
          <w:b/>
          <w:szCs w:val="22"/>
          <w:highlight w:val="none"/>
          <w:lang w:val="zh-CN"/>
        </w:rPr>
        <w:t>交付方式：汇票/支票/银行转账/其他结算方式；不得以现金方式存入。</w:t>
      </w:r>
      <w:r>
        <w:rPr>
          <w:rFonts w:hint="eastAsia" w:ascii="宋体" w:hAnsi="宋体" w:cs="宋体"/>
          <w:b/>
          <w:szCs w:val="22"/>
          <w:highlight w:val="none"/>
          <w:u w:val="single"/>
        </w:rPr>
        <w:t>保证金交纳日期：要求2021年  月  日  上午09：30  上午09：30前到账（投标保证金不接受递交现金）</w:t>
      </w:r>
    </w:p>
    <w:p>
      <w:pPr>
        <w:pStyle w:val="21"/>
        <w:spacing w:before="120" w:after="120" w:line="360" w:lineRule="auto"/>
        <w:ind w:left="447" w:right="1470" w:hanging="447"/>
        <w:rPr>
          <w:rFonts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b/>
          <w:szCs w:val="22"/>
          <w:highlight w:val="none"/>
          <w:lang w:val="zh-CN"/>
        </w:rPr>
        <w:t>从以下三个账户任选一个均可</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1、保证金账户: 平阳县公共资源交易中心</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开户银行：平阳县农商银行营业部</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 xml:space="preserve">银行账号： </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2、保证金账户: 平阳县公共资源交易中心</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开户银行：农行平阳县支行</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 xml:space="preserve">银行账号：  </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3、保证金账户: 平阳县公共资源交易中心</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开户银行：中国银行平阳县支行营业部</w:t>
      </w:r>
    </w:p>
    <w:p>
      <w:pPr>
        <w:widowControl/>
        <w:snapToGrid w:val="0"/>
        <w:spacing w:line="396" w:lineRule="auto"/>
        <w:ind w:left="451" w:leftChars="205"/>
        <w:jc w:val="left"/>
        <w:rPr>
          <w:rFonts w:ascii="宋体" w:hAnsi="宋体" w:cs="宋体"/>
          <w:b/>
          <w:bCs/>
          <w:kern w:val="0"/>
          <w:szCs w:val="22"/>
          <w:highlight w:val="none"/>
        </w:rPr>
      </w:pPr>
      <w:r>
        <w:rPr>
          <w:rFonts w:hint="eastAsia" w:ascii="宋体" w:hAnsi="宋体" w:cs="宋体"/>
          <w:kern w:val="0"/>
          <w:szCs w:val="22"/>
          <w:highlight w:val="none"/>
        </w:rPr>
        <w:t>银行账号：</w:t>
      </w:r>
      <w:r>
        <w:rPr>
          <w:rFonts w:hint="eastAsia" w:ascii="宋体" w:hAnsi="宋体" w:cs="宋体"/>
          <w:b/>
          <w:bCs/>
          <w:kern w:val="0"/>
          <w:szCs w:val="22"/>
          <w:highlight w:val="none"/>
        </w:rPr>
        <w:t xml:space="preserve">      </w:t>
      </w:r>
    </w:p>
    <w:p>
      <w:pPr>
        <w:snapToGrid w:val="0"/>
        <w:spacing w:line="360" w:lineRule="auto"/>
        <w:rPr>
          <w:rFonts w:hint="eastAsia" w:ascii="宋体" w:hAnsi="宋体" w:cs="宋体"/>
          <w:b/>
          <w:szCs w:val="22"/>
          <w:highlight w:val="none"/>
          <w:lang w:val="zh-CN" w:eastAsia="zh-CN"/>
        </w:rPr>
      </w:pPr>
      <w:r>
        <w:rPr>
          <w:rFonts w:hint="eastAsia" w:ascii="宋体" w:hAnsi="宋体" w:cs="宋体"/>
          <w:b/>
          <w:szCs w:val="22"/>
          <w:highlight w:val="none"/>
          <w:lang w:val="en-US" w:eastAsia="zh-CN"/>
        </w:rPr>
        <w:t>标项三</w:t>
      </w:r>
      <w:r>
        <w:rPr>
          <w:rFonts w:hint="eastAsia" w:ascii="宋体" w:hAnsi="宋体" w:cs="宋体"/>
          <w:b/>
          <w:szCs w:val="22"/>
          <w:highlight w:val="none"/>
          <w:lang w:val="zh-CN" w:eastAsia="zh-CN"/>
        </w:rPr>
        <w:t>投标保证金：</w:t>
      </w:r>
      <w:r>
        <w:rPr>
          <w:rFonts w:hint="eastAsia" w:ascii="宋体" w:hAnsi="宋体" w:cs="宋体"/>
          <w:b/>
          <w:szCs w:val="22"/>
          <w:highlight w:val="none"/>
          <w:lang w:val="en-US" w:eastAsia="zh-CN"/>
        </w:rPr>
        <w:t>220000</w:t>
      </w:r>
      <w:r>
        <w:rPr>
          <w:rFonts w:hint="eastAsia" w:ascii="宋体" w:hAnsi="宋体" w:cs="宋体"/>
          <w:b/>
          <w:szCs w:val="22"/>
          <w:highlight w:val="none"/>
          <w:lang w:val="zh-CN" w:eastAsia="zh-CN"/>
        </w:rPr>
        <w:t>元(大写：</w:t>
      </w:r>
      <w:r>
        <w:rPr>
          <w:rFonts w:hint="eastAsia" w:ascii="宋体" w:hAnsi="宋体" w:cs="宋体"/>
          <w:b/>
          <w:szCs w:val="22"/>
          <w:highlight w:val="none"/>
          <w:lang w:val="en-US" w:eastAsia="zh-CN"/>
        </w:rPr>
        <w:fldChar w:fldCharType="begin"/>
      </w:r>
      <w:r>
        <w:rPr>
          <w:rFonts w:hint="eastAsia" w:ascii="宋体" w:hAnsi="宋体" w:cs="宋体"/>
          <w:b/>
          <w:szCs w:val="22"/>
          <w:highlight w:val="none"/>
          <w:lang w:val="en-US" w:eastAsia="zh-CN"/>
        </w:rPr>
        <w:instrText xml:space="preserve"> = 270000 \* CHINESENUM4 \* MERGEFORMAT </w:instrText>
      </w:r>
      <w:r>
        <w:rPr>
          <w:rFonts w:hint="eastAsia" w:ascii="宋体" w:hAnsi="宋体" w:cs="宋体"/>
          <w:b/>
          <w:szCs w:val="22"/>
          <w:highlight w:val="none"/>
          <w:lang w:val="en-US" w:eastAsia="zh-CN"/>
        </w:rPr>
        <w:fldChar w:fldCharType="separate"/>
      </w:r>
      <w:r>
        <w:rPr>
          <w:rFonts w:hint="eastAsia" w:ascii="宋体" w:hAnsi="宋体" w:cs="宋体"/>
          <w:b/>
          <w:szCs w:val="22"/>
          <w:highlight w:val="none"/>
          <w:lang w:val="en-US" w:eastAsia="zh-CN"/>
        </w:rPr>
        <w:t>贰拾贰元整</w:t>
      </w:r>
      <w:r>
        <w:rPr>
          <w:rFonts w:hint="eastAsia" w:ascii="宋体" w:hAnsi="宋体" w:cs="宋体"/>
          <w:b/>
          <w:szCs w:val="22"/>
          <w:highlight w:val="none"/>
          <w:lang w:val="en-US" w:eastAsia="zh-CN"/>
        </w:rPr>
        <w:fldChar w:fldCharType="end"/>
      </w:r>
      <w:r>
        <w:rPr>
          <w:rFonts w:hint="eastAsia" w:ascii="宋体" w:hAnsi="宋体" w:cs="宋体"/>
          <w:b/>
          <w:szCs w:val="22"/>
          <w:highlight w:val="none"/>
          <w:lang w:val="zh-CN" w:eastAsia="zh-CN"/>
        </w:rPr>
        <w:t>人民币)；</w:t>
      </w:r>
    </w:p>
    <w:p>
      <w:pPr>
        <w:snapToGrid w:val="0"/>
        <w:spacing w:line="360" w:lineRule="auto"/>
        <w:ind w:firstLine="433" w:firstLineChars="196"/>
        <w:rPr>
          <w:rFonts w:ascii="宋体" w:hAnsi="宋体" w:cs="宋体"/>
          <w:b/>
          <w:szCs w:val="22"/>
          <w:highlight w:val="none"/>
          <w:u w:val="single"/>
        </w:rPr>
      </w:pPr>
      <w:r>
        <w:rPr>
          <w:rFonts w:hint="eastAsia" w:ascii="宋体" w:hAnsi="宋体" w:cs="宋体"/>
          <w:b/>
          <w:szCs w:val="22"/>
          <w:highlight w:val="none"/>
          <w:lang w:val="zh-CN"/>
        </w:rPr>
        <w:t>交付方式：汇票/支票/银行转账/其他结算方式；不得以现金方式存入。</w:t>
      </w:r>
      <w:r>
        <w:rPr>
          <w:rFonts w:hint="eastAsia" w:ascii="宋体" w:hAnsi="宋体" w:cs="宋体"/>
          <w:b/>
          <w:szCs w:val="22"/>
          <w:highlight w:val="none"/>
          <w:u w:val="single"/>
        </w:rPr>
        <w:t>保证金交纳日期：要求2021年  月  日  上午09：30  上午09：30前到账（投标保证金不接受递交现金）</w:t>
      </w:r>
    </w:p>
    <w:p>
      <w:pPr>
        <w:pStyle w:val="21"/>
        <w:spacing w:before="120" w:after="120" w:line="360" w:lineRule="auto"/>
        <w:ind w:left="447" w:right="1470" w:hanging="447"/>
        <w:rPr>
          <w:rFonts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b/>
          <w:szCs w:val="22"/>
          <w:highlight w:val="none"/>
          <w:lang w:val="zh-CN"/>
        </w:rPr>
        <w:t>从以下三个账户任选一个均可</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1、保证金账户: 平阳县公共资源交易中心</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开户银行：平阳县农商银行营业部</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 xml:space="preserve">银行账号： </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2、保证金账户: 平阳县公共资源交易中心</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开户银行：农行平阳县支行</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 xml:space="preserve">银行账号：  </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3、保证金账户: 平阳县公共资源交易中心</w:t>
      </w:r>
    </w:p>
    <w:p>
      <w:pPr>
        <w:widowControl/>
        <w:snapToGrid w:val="0"/>
        <w:spacing w:line="396" w:lineRule="auto"/>
        <w:ind w:left="451" w:leftChars="205"/>
        <w:jc w:val="left"/>
        <w:rPr>
          <w:rFonts w:ascii="宋体" w:hAnsi="宋体" w:cs="宋体"/>
          <w:kern w:val="0"/>
          <w:szCs w:val="22"/>
          <w:highlight w:val="none"/>
        </w:rPr>
      </w:pPr>
      <w:r>
        <w:rPr>
          <w:rFonts w:hint="eastAsia" w:ascii="宋体" w:hAnsi="宋体" w:cs="宋体"/>
          <w:kern w:val="0"/>
          <w:szCs w:val="22"/>
          <w:highlight w:val="none"/>
        </w:rPr>
        <w:t>开户银行：中国银行平阳县支行营业部</w:t>
      </w:r>
    </w:p>
    <w:p>
      <w:pPr>
        <w:widowControl/>
        <w:snapToGrid w:val="0"/>
        <w:spacing w:line="396" w:lineRule="auto"/>
        <w:ind w:left="451" w:leftChars="205"/>
        <w:jc w:val="left"/>
        <w:rPr>
          <w:rFonts w:hint="eastAsia" w:ascii="宋体" w:hAnsi="宋体" w:cs="宋体"/>
          <w:b/>
          <w:bCs/>
          <w:color w:val="auto"/>
          <w:kern w:val="0"/>
          <w:sz w:val="22"/>
          <w:szCs w:val="22"/>
          <w:highlight w:val="none"/>
        </w:rPr>
      </w:pPr>
      <w:r>
        <w:rPr>
          <w:rFonts w:hint="eastAsia" w:ascii="宋体" w:hAnsi="宋体" w:cs="宋体"/>
          <w:kern w:val="0"/>
          <w:szCs w:val="22"/>
          <w:highlight w:val="none"/>
        </w:rPr>
        <w:t>银行账号：</w:t>
      </w:r>
      <w:r>
        <w:rPr>
          <w:rFonts w:hint="eastAsia" w:ascii="宋体" w:hAnsi="宋体" w:cs="宋体"/>
          <w:b/>
          <w:bCs/>
          <w:kern w:val="0"/>
          <w:szCs w:val="22"/>
          <w:highlight w:val="none"/>
        </w:rPr>
        <w:t xml:space="preserve">      </w:t>
      </w:r>
    </w:p>
    <w:p>
      <w:pPr>
        <w:widowControl/>
        <w:snapToGrid w:val="0"/>
        <w:spacing w:line="396" w:lineRule="auto"/>
        <w:ind w:left="451" w:hanging="451" w:hangingChars="204"/>
        <w:jc w:val="left"/>
        <w:rPr>
          <w:rFonts w:hint="eastAsia" w:ascii="宋体" w:hAnsi="宋体" w:cs="宋体"/>
          <w:b/>
          <w:bCs/>
          <w:color w:val="auto"/>
          <w:kern w:val="0"/>
          <w:szCs w:val="22"/>
          <w:highlight w:val="none"/>
        </w:rPr>
      </w:pPr>
      <w:r>
        <w:rPr>
          <w:rFonts w:hint="eastAsia" w:ascii="宋体" w:hAnsi="宋体" w:cs="宋体"/>
          <w:b/>
          <w:bCs/>
          <w:color w:val="auto"/>
          <w:kern w:val="0"/>
          <w:szCs w:val="22"/>
          <w:highlight w:val="none"/>
        </w:rPr>
        <w:t>十一、公告期限： 5个工作日</w:t>
      </w:r>
    </w:p>
    <w:p>
      <w:pPr>
        <w:widowControl/>
        <w:snapToGrid w:val="0"/>
        <w:spacing w:line="396" w:lineRule="auto"/>
        <w:jc w:val="left"/>
        <w:rPr>
          <w:rFonts w:hint="eastAsia" w:ascii="宋体" w:hAnsi="宋体" w:cs="宋体"/>
          <w:b/>
          <w:bCs/>
          <w:color w:val="auto"/>
          <w:kern w:val="0"/>
          <w:szCs w:val="22"/>
          <w:highlight w:val="none"/>
        </w:rPr>
      </w:pPr>
      <w:r>
        <w:rPr>
          <w:rFonts w:hint="eastAsia" w:ascii="宋体" w:hAnsi="宋体" w:cs="宋体"/>
          <w:b/>
          <w:bCs/>
          <w:color w:val="auto"/>
          <w:kern w:val="0"/>
          <w:szCs w:val="22"/>
          <w:highlight w:val="none"/>
        </w:rPr>
        <w:t>十二、其他事项</w:t>
      </w:r>
    </w:p>
    <w:p>
      <w:pPr>
        <w:widowControl/>
        <w:snapToGrid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napToGrid w:val="0"/>
        <w:spacing w:line="360" w:lineRule="auto"/>
        <w:ind w:firstLine="433" w:firstLineChars="196"/>
        <w:jc w:val="left"/>
        <w:rPr>
          <w:rFonts w:ascii="宋体" w:hAnsi="宋体" w:cs="宋体"/>
          <w:b/>
          <w:color w:val="auto"/>
          <w:kern w:val="0"/>
          <w:sz w:val="22"/>
          <w:szCs w:val="22"/>
          <w:highlight w:val="none"/>
          <w:u w:val="single"/>
        </w:rPr>
      </w:pPr>
      <w:r>
        <w:rPr>
          <w:rFonts w:hint="eastAsia" w:ascii="宋体" w:hAnsi="宋体" w:cs="宋体"/>
          <w:b/>
          <w:color w:val="auto"/>
          <w:kern w:val="0"/>
          <w:sz w:val="22"/>
          <w:szCs w:val="22"/>
          <w:highlight w:val="none"/>
        </w:rPr>
        <w:t xml:space="preserve"> </w:t>
      </w:r>
      <w:r>
        <w:rPr>
          <w:rFonts w:hint="eastAsia" w:ascii="宋体" w:hAnsi="宋体" w:cs="宋体"/>
          <w:b/>
          <w:color w:val="auto"/>
          <w:kern w:val="0"/>
          <w:sz w:val="22"/>
          <w:szCs w:val="22"/>
          <w:highlight w:val="none"/>
          <w:u w:val="single"/>
        </w:rPr>
        <w:t>2、潜在供应商需在浙江政府采购网http://www.zjzfcg.gov.cn进行免费注册，具体详见浙江政府采购网供应商注册要求（中标供应商必须在签订合同前成为浙江政府采购网正式注册供应商）。</w:t>
      </w:r>
    </w:p>
    <w:p>
      <w:pPr>
        <w:widowControl/>
        <w:snapToGrid w:val="0"/>
        <w:spacing w:line="360" w:lineRule="auto"/>
        <w:ind w:firstLine="433" w:firstLineChars="196"/>
        <w:jc w:val="left"/>
        <w:rPr>
          <w:rFonts w:hint="eastAsia" w:ascii="宋体" w:hAnsi="宋体" w:cs="宋体"/>
          <w:b/>
          <w:color w:val="auto"/>
          <w:kern w:val="0"/>
          <w:sz w:val="22"/>
          <w:szCs w:val="22"/>
          <w:highlight w:val="none"/>
          <w:u w:val="single"/>
        </w:rPr>
      </w:pPr>
      <w:r>
        <w:rPr>
          <w:rFonts w:hint="eastAsia" w:ascii="宋体" w:hAnsi="宋体" w:cs="宋体"/>
          <w:b/>
          <w:color w:val="auto"/>
          <w:kern w:val="0"/>
          <w:sz w:val="22"/>
          <w:szCs w:val="22"/>
          <w:highlight w:val="none"/>
        </w:rPr>
        <w:t xml:space="preserve"> </w:t>
      </w:r>
      <w:r>
        <w:rPr>
          <w:rFonts w:hint="eastAsia" w:ascii="宋体" w:hAnsi="宋体" w:cs="宋体"/>
          <w:b/>
          <w:color w:val="auto"/>
          <w:kern w:val="0"/>
          <w:sz w:val="22"/>
          <w:szCs w:val="22"/>
          <w:highlight w:val="none"/>
          <w:u w:val="single"/>
        </w:rPr>
        <w:t>3、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对质疑答复、合同履约不满意的，向监管部门平阳县财政局投诉。</w:t>
      </w:r>
    </w:p>
    <w:p>
      <w:pPr>
        <w:widowControl/>
        <w:snapToGrid w:val="0"/>
        <w:spacing w:line="360" w:lineRule="auto"/>
        <w:ind w:firstLine="431" w:firstLineChars="196"/>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4、本项目招标代理服务费由中标供应商在领取中标通知书前一次性支付给招标代理机构（收费标准详见招标文件）。</w:t>
      </w:r>
    </w:p>
    <w:p>
      <w:pPr>
        <w:widowControl/>
        <w:snapToGrid w:val="0"/>
        <w:spacing w:line="360" w:lineRule="auto"/>
        <w:ind w:firstLine="431" w:firstLineChars="196"/>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5、优化政府采购金融服务</w:t>
      </w:r>
    </w:p>
    <w:p>
      <w:pPr>
        <w:widowControl/>
        <w:snapToGrid w:val="0"/>
        <w:spacing w:line="360" w:lineRule="auto"/>
        <w:ind w:firstLine="431" w:firstLineChars="196"/>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pPr>
        <w:widowControl/>
        <w:snapToGrid w:val="0"/>
        <w:spacing w:line="360" w:lineRule="auto"/>
        <w:ind w:firstLine="431" w:firstLineChars="196"/>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pPr>
        <w:widowControl/>
        <w:snapToGrid w:val="0"/>
        <w:spacing w:line="360" w:lineRule="auto"/>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十三、本项目实施理由和现场防护措施：</w:t>
      </w:r>
    </w:p>
    <w:p>
      <w:pPr>
        <w:widowControl/>
        <w:snapToGrid w:val="0"/>
        <w:spacing w:line="360" w:lineRule="auto"/>
        <w:ind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组织机构制定的现场防护措施：加强采购活动场所防护，建立登记问询制度。采购人会同交易中心按照疫情防控的有关要求，做好采购活动现场人员健康码等信息登记、体温检测、口罩佩戴手部卫生消毒、隔空就坐等各项工作，并询问近14天内的旅行史特别是湖北及较重疫区的旅行史，了解近一周的个人身体情况和发热病人接触史现场所有人员做好个人防护；参加政府采购活动的评审专家、采购人、采购代理机构工作人员应当做好个人防护，场地将安排在平阳县公共资源交易中心评标室，评审之前，对该场地进行消毒；评审专家须佩戴口罩，持有浙江省健康码绿色码且体温不超过37.3度，否则将谢绝其参加评审；评标室内要求评审人员隔空就坐；评审结束后，现场人员分散离场，不要在平阳县公共资源交易中心逗留。</w:t>
      </w:r>
    </w:p>
    <w:p>
      <w:pPr>
        <w:widowControl/>
        <w:snapToGrid w:val="0"/>
        <w:spacing w:line="360" w:lineRule="auto"/>
        <w:jc w:val="left"/>
        <w:rPr>
          <w:rFonts w:hint="eastAsia" w:ascii="宋体" w:hAnsi="宋体" w:cs="宋体"/>
          <w:b/>
          <w:color w:val="auto"/>
          <w:kern w:val="0"/>
          <w:szCs w:val="22"/>
          <w:highlight w:val="none"/>
          <w:u w:val="single"/>
        </w:rPr>
      </w:pPr>
      <w:r>
        <w:rPr>
          <w:rFonts w:hint="eastAsia" w:ascii="宋体" w:hAnsi="宋体" w:cs="宋体"/>
          <w:b/>
          <w:color w:val="auto"/>
          <w:kern w:val="0"/>
          <w:szCs w:val="22"/>
          <w:highlight w:val="none"/>
        </w:rPr>
        <w:t>十四、联系方式：</w:t>
      </w:r>
    </w:p>
    <w:p>
      <w:pPr>
        <w:widowControl/>
        <w:snapToGrid w:val="0"/>
        <w:spacing w:line="360" w:lineRule="auto"/>
        <w:ind w:firstLine="440" w:firstLineChars="200"/>
        <w:jc w:val="left"/>
        <w:rPr>
          <w:rFonts w:hint="eastAsia" w:ascii="宋体" w:hAnsi="宋体" w:cs="宋体"/>
          <w:color w:val="auto"/>
          <w:kern w:val="0"/>
          <w:szCs w:val="22"/>
          <w:highlight w:val="none"/>
        </w:rPr>
      </w:pPr>
      <w:r>
        <w:rPr>
          <w:rFonts w:hint="eastAsia" w:ascii="宋体" w:hAnsi="宋体" w:cs="宋体"/>
          <w:color w:val="auto"/>
          <w:kern w:val="0"/>
          <w:szCs w:val="22"/>
          <w:highlight w:val="none"/>
        </w:rPr>
        <w:t>采购人或其委托代理机构联系方式</w:t>
      </w:r>
    </w:p>
    <w:p>
      <w:pPr>
        <w:widowControl/>
        <w:snapToGrid w:val="0"/>
        <w:spacing w:line="360" w:lineRule="auto"/>
        <w:ind w:firstLine="431" w:firstLineChars="196"/>
        <w:jc w:val="left"/>
        <w:rPr>
          <w:rFonts w:hint="eastAsia" w:ascii="宋体" w:hAnsi="宋体" w:eastAsia="宋体" w:cs="宋体"/>
          <w:color w:val="auto"/>
          <w:kern w:val="0"/>
          <w:szCs w:val="22"/>
          <w:highlight w:val="none"/>
          <w:lang w:eastAsia="zh-CN"/>
        </w:rPr>
      </w:pPr>
      <w:r>
        <w:rPr>
          <w:rFonts w:hint="eastAsia" w:ascii="宋体" w:hAnsi="宋体" w:cs="宋体"/>
          <w:color w:val="auto"/>
          <w:kern w:val="0"/>
          <w:szCs w:val="22"/>
          <w:highlight w:val="none"/>
        </w:rPr>
        <w:t>1、采购人：</w:t>
      </w:r>
      <w:r>
        <w:rPr>
          <w:rFonts w:hint="eastAsia" w:ascii="宋体" w:hAnsi="宋体" w:cs="宋体"/>
          <w:color w:val="auto"/>
          <w:kern w:val="0"/>
          <w:szCs w:val="22"/>
          <w:highlight w:val="none"/>
          <w:lang w:eastAsia="zh-CN"/>
        </w:rPr>
        <w:t>温州长安集团有限公司</w:t>
      </w:r>
    </w:p>
    <w:p>
      <w:pPr>
        <w:widowControl/>
        <w:snapToGrid w:val="0"/>
        <w:spacing w:line="360" w:lineRule="auto"/>
        <w:ind w:firstLine="431" w:firstLineChars="196"/>
        <w:jc w:val="left"/>
        <w:rPr>
          <w:rFonts w:hint="eastAsia" w:ascii="宋体" w:hAnsi="宋体" w:eastAsia="宋体" w:cs="宋体"/>
          <w:color w:val="auto"/>
          <w:kern w:val="0"/>
          <w:szCs w:val="22"/>
          <w:highlight w:val="none"/>
          <w:lang w:val="en-US" w:eastAsia="zh-CN"/>
        </w:rPr>
      </w:pPr>
      <w:r>
        <w:rPr>
          <w:rFonts w:hint="eastAsia" w:ascii="宋体" w:hAnsi="宋体" w:cs="宋体"/>
          <w:color w:val="auto"/>
          <w:kern w:val="0"/>
          <w:szCs w:val="22"/>
          <w:highlight w:val="none"/>
        </w:rPr>
        <w:t>联 系 人：</w:t>
      </w:r>
      <w:r>
        <w:rPr>
          <w:rFonts w:hint="eastAsia" w:ascii="宋体" w:hAnsi="宋体" w:cs="宋体"/>
          <w:color w:val="auto"/>
          <w:kern w:val="0"/>
          <w:szCs w:val="22"/>
          <w:highlight w:val="none"/>
          <w:lang w:val="en-US" w:eastAsia="zh-CN"/>
        </w:rPr>
        <w:t>陈先生</w:t>
      </w:r>
    </w:p>
    <w:p>
      <w:pPr>
        <w:widowControl/>
        <w:snapToGrid w:val="0"/>
        <w:spacing w:line="360" w:lineRule="auto"/>
        <w:ind w:firstLine="431" w:firstLineChars="196"/>
        <w:jc w:val="left"/>
        <w:rPr>
          <w:rFonts w:hint="eastAsia" w:ascii="宋体" w:hAnsi="宋体" w:cs="宋体"/>
          <w:color w:val="auto"/>
          <w:kern w:val="0"/>
          <w:szCs w:val="22"/>
          <w:highlight w:val="none"/>
          <w:lang w:eastAsia="zh-CN"/>
        </w:rPr>
      </w:pPr>
      <w:r>
        <w:rPr>
          <w:rFonts w:hint="eastAsia" w:ascii="宋体" w:hAnsi="宋体" w:cs="宋体"/>
          <w:color w:val="auto"/>
          <w:kern w:val="0"/>
          <w:szCs w:val="22"/>
          <w:highlight w:val="none"/>
        </w:rPr>
        <w:t>联系电话：0577-63199612</w:t>
      </w:r>
    </w:p>
    <w:p>
      <w:pPr>
        <w:widowControl/>
        <w:snapToGrid w:val="0"/>
        <w:spacing w:line="360" w:lineRule="auto"/>
        <w:ind w:firstLine="431" w:firstLineChars="196"/>
        <w:jc w:val="left"/>
        <w:rPr>
          <w:rFonts w:hint="eastAsia" w:ascii="宋体" w:hAnsi="宋体" w:cs="宋体"/>
          <w:color w:val="auto"/>
          <w:kern w:val="0"/>
          <w:szCs w:val="22"/>
          <w:highlight w:val="none"/>
        </w:rPr>
      </w:pPr>
      <w:r>
        <w:rPr>
          <w:rFonts w:hint="eastAsia" w:ascii="宋体" w:hAnsi="宋体" w:cs="宋体"/>
          <w:color w:val="auto"/>
          <w:kern w:val="0"/>
          <w:szCs w:val="22"/>
          <w:highlight w:val="none"/>
        </w:rPr>
        <w:t>采购人地址：平阳县鳌江镇新河北路160号</w:t>
      </w:r>
    </w:p>
    <w:p>
      <w:pPr>
        <w:widowControl/>
        <w:snapToGrid w:val="0"/>
        <w:spacing w:line="360" w:lineRule="auto"/>
        <w:ind w:firstLine="431" w:firstLineChars="196"/>
        <w:jc w:val="left"/>
        <w:rPr>
          <w:rFonts w:hint="eastAsia" w:ascii="宋体" w:hAnsi="宋体" w:cs="宋体"/>
          <w:color w:val="auto"/>
          <w:szCs w:val="22"/>
          <w:highlight w:val="none"/>
        </w:rPr>
      </w:pPr>
      <w:r>
        <w:rPr>
          <w:rFonts w:hint="eastAsia" w:ascii="宋体" w:hAnsi="宋体" w:cs="宋体"/>
          <w:color w:val="auto"/>
          <w:szCs w:val="22"/>
          <w:highlight w:val="none"/>
        </w:rPr>
        <w:t>2、代理机构名称：浙江品信工程项目管理有限公司</w:t>
      </w:r>
    </w:p>
    <w:p>
      <w:pPr>
        <w:widowControl/>
        <w:snapToGrid w:val="0"/>
        <w:spacing w:line="360" w:lineRule="auto"/>
        <w:ind w:firstLine="431" w:firstLineChars="196"/>
        <w:jc w:val="left"/>
        <w:rPr>
          <w:rFonts w:hint="eastAsia" w:ascii="宋体" w:hAnsi="宋体" w:eastAsia="宋体" w:cs="宋体"/>
          <w:color w:val="auto"/>
          <w:szCs w:val="22"/>
          <w:highlight w:val="none"/>
          <w:lang w:eastAsia="zh-CN"/>
        </w:rPr>
      </w:pPr>
      <w:r>
        <w:rPr>
          <w:rFonts w:hint="eastAsia" w:ascii="宋体" w:hAnsi="宋体" w:cs="宋体"/>
          <w:color w:val="auto"/>
          <w:szCs w:val="22"/>
          <w:highlight w:val="none"/>
        </w:rPr>
        <w:t>机构地址：</w:t>
      </w:r>
      <w:r>
        <w:rPr>
          <w:rFonts w:hint="eastAsia" w:ascii="宋体" w:hAnsi="宋体" w:cs="宋体"/>
          <w:color w:val="auto"/>
          <w:szCs w:val="22"/>
          <w:highlight w:val="none"/>
          <w:lang w:eastAsia="zh-CN"/>
        </w:rPr>
        <w:t>温州市平阳县鳌江镇玉莲村鞋业园区A区10幢新厂房二楼</w:t>
      </w:r>
    </w:p>
    <w:p>
      <w:pPr>
        <w:widowControl/>
        <w:snapToGrid w:val="0"/>
        <w:spacing w:line="360" w:lineRule="auto"/>
        <w:ind w:firstLine="431" w:firstLineChars="196"/>
        <w:jc w:val="left"/>
        <w:rPr>
          <w:rFonts w:hint="eastAsia" w:ascii="宋体" w:hAnsi="宋体" w:eastAsia="宋体" w:cs="宋体"/>
          <w:color w:val="auto"/>
          <w:kern w:val="0"/>
          <w:szCs w:val="22"/>
          <w:highlight w:val="none"/>
          <w:lang w:eastAsia="zh-CN"/>
        </w:rPr>
      </w:pPr>
      <w:r>
        <w:rPr>
          <w:rFonts w:hint="eastAsia" w:ascii="宋体" w:hAnsi="宋体" w:cs="宋体"/>
          <w:color w:val="auto"/>
          <w:kern w:val="0"/>
          <w:szCs w:val="22"/>
          <w:highlight w:val="none"/>
        </w:rPr>
        <w:t>联系人：</w:t>
      </w:r>
      <w:r>
        <w:rPr>
          <w:rFonts w:hint="eastAsia" w:ascii="宋体" w:hAnsi="宋体" w:cs="宋体"/>
          <w:color w:val="auto"/>
          <w:kern w:val="0"/>
          <w:szCs w:val="22"/>
          <w:highlight w:val="none"/>
          <w:lang w:eastAsia="zh-CN"/>
        </w:rPr>
        <w:t>吴女士</w:t>
      </w:r>
    </w:p>
    <w:p>
      <w:pPr>
        <w:widowControl/>
        <w:snapToGrid w:val="0"/>
        <w:spacing w:line="360" w:lineRule="auto"/>
        <w:ind w:firstLine="431" w:firstLineChars="196"/>
        <w:jc w:val="left"/>
        <w:rPr>
          <w:rFonts w:hint="eastAsia" w:ascii="宋体" w:hAnsi="宋体" w:cs="宋体"/>
          <w:color w:val="auto"/>
          <w:kern w:val="0"/>
          <w:szCs w:val="22"/>
          <w:highlight w:val="none"/>
        </w:rPr>
      </w:pPr>
      <w:r>
        <w:rPr>
          <w:rFonts w:hint="eastAsia" w:ascii="宋体" w:hAnsi="宋体" w:cs="宋体"/>
          <w:color w:val="auto"/>
          <w:kern w:val="0"/>
          <w:szCs w:val="22"/>
          <w:highlight w:val="none"/>
        </w:rPr>
        <w:t>联系电话：0577-63682718、15669781333</w:t>
      </w:r>
    </w:p>
    <w:p>
      <w:pPr>
        <w:widowControl/>
        <w:snapToGrid w:val="0"/>
        <w:spacing w:line="360" w:lineRule="auto"/>
        <w:ind w:firstLine="440" w:firstLineChars="200"/>
        <w:jc w:val="left"/>
        <w:rPr>
          <w:rFonts w:hint="eastAsia" w:ascii="宋体" w:hAnsi="宋体" w:cs="宋体"/>
          <w:color w:val="auto"/>
          <w:kern w:val="0"/>
          <w:szCs w:val="22"/>
          <w:highlight w:val="none"/>
        </w:rPr>
      </w:pPr>
      <w:r>
        <w:rPr>
          <w:rFonts w:hint="eastAsia" w:ascii="宋体" w:hAnsi="宋体" w:cs="宋体"/>
          <w:color w:val="auto"/>
          <w:kern w:val="0"/>
          <w:szCs w:val="22"/>
          <w:highlight w:val="none"/>
        </w:rPr>
        <w:t>联系传真：0577-63682718</w:t>
      </w:r>
    </w:p>
    <w:p>
      <w:pPr>
        <w:widowControl/>
        <w:snapToGrid w:val="0"/>
        <w:spacing w:line="360" w:lineRule="auto"/>
        <w:ind w:firstLine="440" w:firstLineChars="200"/>
        <w:jc w:val="left"/>
        <w:rPr>
          <w:rFonts w:hint="eastAsia" w:ascii="宋体" w:hAnsi="宋体" w:cs="宋体"/>
          <w:bCs/>
          <w:color w:val="auto"/>
          <w:szCs w:val="22"/>
          <w:highlight w:val="none"/>
        </w:rPr>
      </w:pPr>
      <w:r>
        <w:rPr>
          <w:rFonts w:hint="eastAsia" w:ascii="宋体" w:hAnsi="宋体" w:cs="宋体"/>
          <w:bCs/>
          <w:color w:val="auto"/>
          <w:szCs w:val="22"/>
          <w:highlight w:val="none"/>
        </w:rPr>
        <w:t>3、同级政府采购监督管理部门名称：平阳县财政局国企组织科</w:t>
      </w:r>
    </w:p>
    <w:p>
      <w:pPr>
        <w:widowControl/>
        <w:snapToGrid w:val="0"/>
        <w:spacing w:line="360" w:lineRule="auto"/>
        <w:ind w:firstLine="440" w:firstLineChars="200"/>
        <w:jc w:val="left"/>
        <w:rPr>
          <w:rFonts w:hint="eastAsia" w:ascii="宋体" w:hAnsi="宋体" w:cs="宋体"/>
          <w:bCs/>
          <w:color w:val="auto"/>
          <w:szCs w:val="22"/>
          <w:highlight w:val="none"/>
        </w:rPr>
      </w:pPr>
      <w:r>
        <w:rPr>
          <w:rFonts w:hint="eastAsia" w:ascii="宋体" w:hAnsi="宋体" w:cs="宋体"/>
          <w:bCs/>
          <w:color w:val="auto"/>
          <w:szCs w:val="22"/>
          <w:highlight w:val="none"/>
        </w:rPr>
        <w:t>联系人：蔡先生</w:t>
      </w:r>
    </w:p>
    <w:p>
      <w:pPr>
        <w:widowControl/>
        <w:snapToGrid w:val="0"/>
        <w:spacing w:line="360" w:lineRule="auto"/>
        <w:ind w:firstLine="440" w:firstLineChars="200"/>
        <w:jc w:val="left"/>
        <w:rPr>
          <w:rFonts w:hint="eastAsia" w:ascii="宋体" w:hAnsi="宋体" w:cs="宋体"/>
          <w:bCs/>
          <w:color w:val="auto"/>
          <w:szCs w:val="22"/>
          <w:highlight w:val="none"/>
        </w:rPr>
      </w:pPr>
      <w:r>
        <w:rPr>
          <w:rFonts w:hint="eastAsia" w:ascii="宋体" w:hAnsi="宋体" w:cs="宋体"/>
          <w:bCs/>
          <w:color w:val="auto"/>
          <w:szCs w:val="22"/>
          <w:highlight w:val="none"/>
        </w:rPr>
        <w:t>监督投诉电话：0577-63886781</w:t>
      </w:r>
    </w:p>
    <w:p>
      <w:pPr>
        <w:widowControl/>
        <w:snapToGrid w:val="0"/>
        <w:spacing w:line="360" w:lineRule="auto"/>
        <w:ind w:firstLine="440" w:firstLineChars="200"/>
        <w:jc w:val="left"/>
        <w:rPr>
          <w:rFonts w:hint="eastAsia" w:ascii="宋体" w:hAnsi="宋体" w:cs="宋体"/>
          <w:bCs/>
          <w:color w:val="auto"/>
          <w:szCs w:val="22"/>
          <w:highlight w:val="none"/>
        </w:rPr>
      </w:pPr>
      <w:r>
        <w:rPr>
          <w:rFonts w:hint="eastAsia" w:ascii="宋体" w:hAnsi="宋体" w:cs="宋体"/>
          <w:bCs/>
          <w:color w:val="auto"/>
          <w:szCs w:val="22"/>
          <w:highlight w:val="none"/>
        </w:rPr>
        <w:t>传真：0577-63889821</w:t>
      </w:r>
    </w:p>
    <w:p>
      <w:pPr>
        <w:widowControl/>
        <w:snapToGrid w:val="0"/>
        <w:spacing w:line="360" w:lineRule="auto"/>
        <w:ind w:firstLine="431" w:firstLineChars="196"/>
        <w:jc w:val="left"/>
        <w:rPr>
          <w:rFonts w:hint="eastAsia" w:ascii="宋体" w:hAnsi="宋体" w:cs="宋体"/>
          <w:color w:val="auto"/>
          <w:szCs w:val="22"/>
          <w:highlight w:val="none"/>
        </w:rPr>
      </w:pPr>
      <w:r>
        <w:rPr>
          <w:rFonts w:hint="eastAsia" w:ascii="宋体" w:hAnsi="宋体" w:cs="宋体"/>
          <w:bCs/>
          <w:color w:val="auto"/>
          <w:szCs w:val="22"/>
          <w:highlight w:val="none"/>
        </w:rPr>
        <w:t>地址：平阳县昆阳镇人民路平阳县财政局</w:t>
      </w:r>
    </w:p>
    <w:p>
      <w:pPr>
        <w:ind w:firstLine="2692" w:firstLineChars="745"/>
        <w:rPr>
          <w:rFonts w:hint="eastAsia" w:ascii="宋体" w:hAnsi="宋体" w:cs="宋体"/>
          <w:b/>
          <w:bCs/>
          <w:color w:val="auto"/>
          <w:sz w:val="36"/>
          <w:szCs w:val="36"/>
          <w:highlight w:val="none"/>
        </w:rPr>
      </w:pPr>
    </w:p>
    <w:p>
      <w:pPr>
        <w:pStyle w:val="21"/>
        <w:spacing w:before="120" w:after="120"/>
        <w:ind w:left="447" w:hanging="447"/>
        <w:rPr>
          <w:rFonts w:hint="eastAsia"/>
          <w:color w:val="auto"/>
          <w:highlight w:val="none"/>
        </w:rPr>
      </w:pPr>
    </w:p>
    <w:p>
      <w:pPr>
        <w:pStyle w:val="21"/>
        <w:spacing w:before="120" w:after="120"/>
        <w:ind w:left="734" w:hanging="734"/>
        <w:jc w:val="center"/>
        <w:rPr>
          <w:rFonts w:hint="eastAsia" w:ascii="宋体" w:hAnsi="宋体" w:eastAsia="宋体" w:cs="宋体"/>
          <w:b/>
          <w:bCs/>
          <w:color w:val="auto"/>
          <w:sz w:val="36"/>
          <w:szCs w:val="36"/>
          <w:highlight w:val="none"/>
        </w:rPr>
      </w:pPr>
      <w:r>
        <w:rPr>
          <w:rFonts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投 标 通 知 (邀 请) 书</w:t>
      </w:r>
    </w:p>
    <w:p>
      <w:pPr>
        <w:adjustRightInd w:val="0"/>
        <w:snapToGrid w:val="0"/>
        <w:spacing w:line="360" w:lineRule="atLeast"/>
        <w:ind w:firstLine="440" w:firstLineChars="200"/>
        <w:rPr>
          <w:rFonts w:hint="eastAsia" w:ascii="宋体" w:hAnsi="宋体" w:cs="宋体"/>
          <w:color w:val="auto"/>
          <w:kern w:val="0"/>
          <w:szCs w:val="22"/>
          <w:highlight w:val="none"/>
        </w:rPr>
      </w:pPr>
      <w:r>
        <w:rPr>
          <w:rFonts w:hint="eastAsia" w:ascii="宋体" w:hAnsi="宋体" w:cs="宋体"/>
          <w:color w:val="auto"/>
          <w:kern w:val="0"/>
          <w:szCs w:val="22"/>
          <w:highlight w:val="none"/>
        </w:rPr>
        <w:t>浙江品信工程项目管理有限公司对</w:t>
      </w:r>
      <w:r>
        <w:rPr>
          <w:rFonts w:hint="eastAsia" w:ascii="宋体" w:hAnsi="宋体" w:cs="宋体"/>
          <w:color w:val="auto"/>
          <w:kern w:val="0"/>
          <w:szCs w:val="22"/>
          <w:highlight w:val="none"/>
          <w:lang w:eastAsia="zh-CN"/>
        </w:rPr>
        <w:t>2021年纯电动客车采购</w:t>
      </w:r>
      <w:r>
        <w:rPr>
          <w:rFonts w:hint="eastAsia" w:ascii="宋体" w:hAnsi="宋体" w:cs="宋体"/>
          <w:color w:val="auto"/>
          <w:kern w:val="0"/>
          <w:szCs w:val="22"/>
          <w:highlight w:val="none"/>
        </w:rPr>
        <w:t>进行公开招标，特通知贵公司（企业）前来投标。并请按招标文件的要求认真准备好投标文件，按时前来投标。</w:t>
      </w:r>
    </w:p>
    <w:tbl>
      <w:tblPr>
        <w:tblStyle w:val="42"/>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pPr>
              <w:spacing w:line="400" w:lineRule="atLeast"/>
              <w:jc w:val="center"/>
              <w:rPr>
                <w:rFonts w:hint="eastAsia" w:ascii="宋体" w:hAnsi="宋体" w:cs="宋体"/>
                <w:color w:val="auto"/>
                <w:highlight w:val="none"/>
              </w:rPr>
            </w:pPr>
            <w:r>
              <w:rPr>
                <w:rFonts w:hint="eastAsia" w:ascii="宋体" w:hAnsi="宋体" w:cs="宋体"/>
                <w:color w:val="auto"/>
                <w:highlight w:val="none"/>
              </w:rPr>
              <w:t>序号</w:t>
            </w:r>
          </w:p>
        </w:tc>
        <w:tc>
          <w:tcPr>
            <w:tcW w:w="1553" w:type="dxa"/>
            <w:noWrap w:val="0"/>
            <w:vAlign w:val="center"/>
          </w:tcPr>
          <w:p>
            <w:pPr>
              <w:spacing w:line="400" w:lineRule="atLeast"/>
              <w:jc w:val="center"/>
              <w:rPr>
                <w:rFonts w:hint="eastAsia" w:ascii="宋体" w:hAnsi="宋体" w:cs="宋体"/>
                <w:color w:val="auto"/>
                <w:highlight w:val="none"/>
              </w:rPr>
            </w:pPr>
            <w:r>
              <w:rPr>
                <w:rFonts w:hint="eastAsia" w:ascii="宋体" w:hAnsi="宋体" w:cs="宋体"/>
                <w:color w:val="auto"/>
                <w:highlight w:val="none"/>
              </w:rPr>
              <w:t>内容</w:t>
            </w:r>
          </w:p>
        </w:tc>
        <w:tc>
          <w:tcPr>
            <w:tcW w:w="7776" w:type="dxa"/>
            <w:noWrap w:val="0"/>
            <w:vAlign w:val="center"/>
          </w:tcPr>
          <w:p>
            <w:pPr>
              <w:spacing w:line="400" w:lineRule="atLeast"/>
              <w:jc w:val="center"/>
              <w:rPr>
                <w:rFonts w:hint="eastAsia" w:ascii="宋体" w:hAnsi="宋体" w:cs="宋体"/>
                <w:color w:val="auto"/>
                <w:highlight w:val="none"/>
              </w:rPr>
            </w:pPr>
            <w:r>
              <w:rPr>
                <w:rFonts w:hint="eastAsia" w:ascii="宋体" w:hAnsi="宋体" w:cs="宋体"/>
                <w:color w:val="auto"/>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rPr>
                <w:rFonts w:hint="eastAsia" w:ascii="宋体" w:hAnsi="宋体" w:cs="宋体"/>
                <w:color w:val="auto"/>
                <w:highlight w:val="none"/>
              </w:rPr>
            </w:pPr>
            <w:r>
              <w:rPr>
                <w:rFonts w:hint="eastAsia" w:ascii="宋体" w:hAnsi="宋体" w:cs="宋体"/>
                <w:color w:val="auto"/>
                <w:highlight w:val="none"/>
              </w:rPr>
              <w:t>项目名称</w:t>
            </w:r>
          </w:p>
        </w:tc>
        <w:tc>
          <w:tcPr>
            <w:tcW w:w="7776" w:type="dxa"/>
            <w:noWrap w:val="0"/>
            <w:vAlign w:val="center"/>
          </w:tcPr>
          <w:p>
            <w:pPr>
              <w:rPr>
                <w:rFonts w:hint="eastAsia" w:ascii="宋体" w:hAnsi="宋体" w:eastAsia="宋体" w:cs="宋体"/>
                <w:color w:val="auto"/>
                <w:kern w:val="0"/>
                <w:szCs w:val="22"/>
                <w:highlight w:val="none"/>
                <w:lang w:eastAsia="zh-CN"/>
              </w:rPr>
            </w:pPr>
            <w:r>
              <w:rPr>
                <w:rFonts w:hint="eastAsia" w:ascii="宋体" w:hAnsi="宋体" w:cs="宋体"/>
                <w:color w:val="auto"/>
                <w:kern w:val="0"/>
                <w:szCs w:val="22"/>
                <w:highlight w:val="none"/>
                <w:lang w:eastAsia="zh-CN"/>
              </w:rPr>
              <w:t>2021年纯电动客车采购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rPr>
                <w:rFonts w:hint="eastAsia" w:ascii="宋体" w:hAnsi="宋体" w:cs="宋体"/>
                <w:color w:val="auto"/>
                <w:highlight w:val="none"/>
              </w:rPr>
            </w:pPr>
            <w:r>
              <w:rPr>
                <w:rFonts w:hint="eastAsia" w:ascii="宋体" w:hAnsi="宋体" w:cs="宋体"/>
                <w:color w:val="auto"/>
                <w:highlight w:val="none"/>
              </w:rPr>
              <w:t>项目编号</w:t>
            </w:r>
          </w:p>
        </w:tc>
        <w:tc>
          <w:tcPr>
            <w:tcW w:w="7776" w:type="dxa"/>
            <w:noWrap w:val="0"/>
            <w:vAlign w:val="center"/>
          </w:tcPr>
          <w:p>
            <w:pPr>
              <w:rPr>
                <w:rFonts w:hint="eastAsia" w:ascii="宋体" w:hAnsi="宋体" w:eastAsia="宋体" w:cs="宋体"/>
                <w:color w:val="auto"/>
                <w:kern w:val="0"/>
                <w:szCs w:val="22"/>
                <w:highlight w:val="none"/>
                <w:lang w:eastAsia="zh-CN"/>
              </w:rPr>
            </w:pPr>
            <w:r>
              <w:rPr>
                <w:rFonts w:hint="eastAsia" w:ascii="宋体" w:hAnsi="宋体" w:cs="宋体"/>
                <w:color w:val="auto"/>
                <w:kern w:val="0"/>
                <w:szCs w:val="22"/>
                <w:highlight w:val="none"/>
                <w:lang w:eastAsia="zh-CN"/>
              </w:rPr>
              <w:t>PYCG210924092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rPr>
                <w:rFonts w:hint="eastAsia" w:ascii="宋体" w:hAnsi="宋体" w:cs="宋体"/>
                <w:color w:val="auto"/>
                <w:highlight w:val="none"/>
              </w:rPr>
            </w:pPr>
            <w:r>
              <w:rPr>
                <w:rFonts w:hint="eastAsia" w:ascii="宋体" w:hAnsi="宋体" w:cs="宋体"/>
                <w:color w:val="auto"/>
                <w:highlight w:val="none"/>
              </w:rPr>
              <w:t>资金来源</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rPr>
                <w:rFonts w:hint="eastAsia" w:ascii="宋体" w:hAnsi="宋体" w:cs="宋体"/>
                <w:color w:val="auto"/>
                <w:highlight w:val="none"/>
              </w:rPr>
            </w:pPr>
            <w:r>
              <w:rPr>
                <w:rFonts w:hint="eastAsia" w:ascii="宋体" w:hAnsi="宋体" w:cs="宋体"/>
                <w:color w:val="auto"/>
                <w:highlight w:val="none"/>
              </w:rPr>
              <w:t>采购预算</w:t>
            </w:r>
          </w:p>
          <w:p>
            <w:pPr>
              <w:rPr>
                <w:rFonts w:hint="eastAsia" w:ascii="宋体" w:hAnsi="宋体" w:cs="宋体"/>
                <w:color w:val="auto"/>
                <w:highlight w:val="none"/>
              </w:rPr>
            </w:pPr>
            <w:r>
              <w:rPr>
                <w:rFonts w:hint="eastAsia" w:ascii="宋体" w:hAnsi="宋体" w:cs="宋体"/>
                <w:color w:val="auto"/>
                <w:highlight w:val="none"/>
              </w:rPr>
              <w:t>（最高限价）</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具体见招标公告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rPr>
                <w:rFonts w:hint="eastAsia" w:ascii="宋体" w:hAnsi="宋体" w:cs="宋体"/>
                <w:color w:val="auto"/>
                <w:highlight w:val="none"/>
              </w:rPr>
            </w:pPr>
            <w:r>
              <w:rPr>
                <w:rFonts w:hint="eastAsia" w:ascii="宋体" w:hAnsi="宋体" w:cs="宋体"/>
                <w:color w:val="auto"/>
                <w:highlight w:val="none"/>
              </w:rPr>
              <w:t>采购方式</w:t>
            </w:r>
          </w:p>
        </w:tc>
        <w:tc>
          <w:tcPr>
            <w:tcW w:w="7776" w:type="dxa"/>
            <w:noWrap w:val="0"/>
            <w:vAlign w:val="center"/>
          </w:tcPr>
          <w:p>
            <w:pPr>
              <w:adjustRightInd w:val="0"/>
              <w:rPr>
                <w:rFonts w:hint="eastAsia" w:ascii="宋体" w:hAnsi="宋体" w:cs="宋体"/>
                <w:color w:val="auto"/>
                <w:highlight w:val="none"/>
              </w:rPr>
            </w:pPr>
            <w:r>
              <w:rPr>
                <w:rFonts w:hint="eastAsia" w:ascii="宋体" w:hAnsi="宋体" w:cs="宋体"/>
                <w:color w:val="auto"/>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adjustRightInd w:val="0"/>
              <w:rPr>
                <w:rFonts w:hint="eastAsia" w:ascii="宋体" w:hAnsi="宋体" w:cs="宋体"/>
                <w:color w:val="auto"/>
                <w:highlight w:val="none"/>
              </w:rPr>
            </w:pPr>
            <w:r>
              <w:rPr>
                <w:rFonts w:hint="eastAsia" w:ascii="宋体" w:hAnsi="宋体" w:cs="宋体"/>
                <w:color w:val="auto"/>
                <w:highlight w:val="none"/>
              </w:rPr>
              <w:t>采购人</w:t>
            </w:r>
          </w:p>
        </w:tc>
        <w:tc>
          <w:tcPr>
            <w:tcW w:w="7776" w:type="dxa"/>
            <w:noWrap w:val="0"/>
            <w:vAlign w:val="center"/>
          </w:tcPr>
          <w:p>
            <w:pPr>
              <w:adjustRightInd w:val="0"/>
              <w:rPr>
                <w:rFonts w:hint="eastAsia" w:ascii="宋体" w:hAnsi="宋体" w:eastAsia="宋体" w:cs="宋体"/>
                <w:color w:val="auto"/>
                <w:highlight w:val="none"/>
                <w:lang w:eastAsia="zh-CN"/>
              </w:rPr>
            </w:pPr>
            <w:r>
              <w:rPr>
                <w:rFonts w:hint="eastAsia" w:ascii="宋体" w:hAnsi="宋体" w:cs="宋体"/>
                <w:color w:val="auto"/>
                <w:highlight w:val="none"/>
              </w:rPr>
              <w:t>采 购 人：</w:t>
            </w:r>
            <w:r>
              <w:rPr>
                <w:rFonts w:hint="eastAsia" w:ascii="宋体" w:hAnsi="宋体" w:cs="宋体"/>
                <w:color w:val="auto"/>
                <w:highlight w:val="none"/>
                <w:lang w:eastAsia="zh-CN"/>
              </w:rPr>
              <w:t>温州长安集团有限公司</w:t>
            </w:r>
          </w:p>
          <w:p>
            <w:pPr>
              <w:adjustRightInd w:val="0"/>
              <w:rPr>
                <w:rFonts w:hint="eastAsia" w:ascii="宋体" w:hAnsi="宋体" w:cs="宋体"/>
                <w:color w:val="auto"/>
                <w:highlight w:val="none"/>
              </w:rPr>
            </w:pPr>
            <w:r>
              <w:rPr>
                <w:rFonts w:hint="eastAsia" w:ascii="宋体" w:hAnsi="宋体" w:cs="宋体"/>
                <w:color w:val="auto"/>
                <w:highlight w:val="none"/>
              </w:rPr>
              <w:t>采购人地址：平阳县鳌江镇新河北路160号</w:t>
            </w:r>
          </w:p>
          <w:p>
            <w:pPr>
              <w:adjustRightInd w:val="0"/>
              <w:rPr>
                <w:rFonts w:hint="eastAsia" w:ascii="宋体" w:hAnsi="宋体" w:cs="宋体"/>
                <w:color w:val="auto"/>
                <w:highlight w:val="none"/>
                <w:lang w:val="en-US" w:eastAsia="zh-CN"/>
              </w:rPr>
            </w:pPr>
            <w:r>
              <w:rPr>
                <w:rFonts w:hint="eastAsia" w:ascii="宋体" w:hAnsi="宋体" w:cs="宋体"/>
                <w:color w:val="auto"/>
                <w:highlight w:val="none"/>
              </w:rPr>
              <w:t>联 系 人：</w:t>
            </w:r>
            <w:r>
              <w:rPr>
                <w:rFonts w:hint="eastAsia" w:ascii="宋体" w:hAnsi="宋体" w:cs="宋体"/>
                <w:color w:val="auto"/>
                <w:highlight w:val="none"/>
                <w:lang w:val="en-US" w:eastAsia="zh-CN"/>
              </w:rPr>
              <w:t>陈先生</w:t>
            </w:r>
          </w:p>
          <w:p>
            <w:pPr>
              <w:adjustRightInd w:val="0"/>
              <w:rPr>
                <w:rFonts w:hint="eastAsia" w:ascii="宋体" w:hAnsi="宋体" w:eastAsia="宋体" w:cs="宋体"/>
                <w:color w:val="auto"/>
                <w:highlight w:val="none"/>
                <w:lang w:eastAsia="zh-CN"/>
              </w:rPr>
            </w:pPr>
            <w:r>
              <w:rPr>
                <w:rFonts w:hint="eastAsia" w:ascii="宋体" w:hAnsi="宋体" w:cs="宋体"/>
                <w:color w:val="auto"/>
                <w:highlight w:val="none"/>
              </w:rPr>
              <w:t>联系电话：0577-63199612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rPr>
                <w:rFonts w:hint="eastAsia" w:ascii="宋体" w:hAnsi="宋体" w:cs="宋体"/>
                <w:color w:val="auto"/>
                <w:highlight w:val="none"/>
              </w:rPr>
            </w:pPr>
            <w:r>
              <w:rPr>
                <w:rFonts w:hint="eastAsia" w:ascii="宋体" w:hAnsi="宋体" w:cs="宋体"/>
                <w:color w:val="auto"/>
                <w:highlight w:val="none"/>
              </w:rPr>
              <w:t>采购代理机构</w:t>
            </w:r>
          </w:p>
        </w:tc>
        <w:tc>
          <w:tcPr>
            <w:tcW w:w="7776" w:type="dxa"/>
            <w:noWrap w:val="0"/>
            <w:vAlign w:val="center"/>
          </w:tcPr>
          <w:p>
            <w:pPr>
              <w:adjustRightInd w:val="0"/>
              <w:rPr>
                <w:rFonts w:hint="eastAsia" w:ascii="宋体" w:hAnsi="宋体" w:cs="宋体"/>
                <w:color w:val="auto"/>
                <w:highlight w:val="none"/>
              </w:rPr>
            </w:pPr>
            <w:r>
              <w:rPr>
                <w:rFonts w:hint="eastAsia" w:ascii="宋体" w:hAnsi="宋体" w:cs="宋体"/>
                <w:color w:val="auto"/>
                <w:highlight w:val="none"/>
              </w:rPr>
              <w:t>代理机构名称：浙江品信工程项目管理有限公司</w:t>
            </w:r>
          </w:p>
          <w:p>
            <w:pPr>
              <w:adjustRightInd w:val="0"/>
              <w:rPr>
                <w:rFonts w:hint="eastAsia" w:ascii="宋体" w:hAnsi="宋体" w:eastAsia="宋体" w:cs="宋体"/>
                <w:color w:val="auto"/>
                <w:highlight w:val="none"/>
                <w:lang w:eastAsia="zh-CN"/>
              </w:rPr>
            </w:pPr>
            <w:r>
              <w:rPr>
                <w:rFonts w:hint="eastAsia" w:ascii="宋体" w:hAnsi="宋体" w:cs="宋体"/>
                <w:color w:val="auto"/>
                <w:highlight w:val="none"/>
              </w:rPr>
              <w:t>机构地址：</w:t>
            </w:r>
            <w:r>
              <w:rPr>
                <w:rFonts w:hint="eastAsia" w:ascii="宋体" w:hAnsi="宋体" w:cs="宋体"/>
                <w:color w:val="auto"/>
                <w:highlight w:val="none"/>
                <w:lang w:eastAsia="zh-CN"/>
              </w:rPr>
              <w:t>温州市平阳县鳌江镇玉莲村鞋业园区A区10幢新厂房二楼</w:t>
            </w:r>
          </w:p>
          <w:p>
            <w:pPr>
              <w:adjustRightInd w:val="0"/>
              <w:rPr>
                <w:rFonts w:hint="eastAsia" w:ascii="宋体" w:hAnsi="宋体" w:eastAsia="宋体" w:cs="宋体"/>
                <w:color w:val="auto"/>
                <w:highlight w:val="none"/>
                <w:lang w:eastAsia="zh-CN"/>
              </w:rPr>
            </w:pPr>
            <w:r>
              <w:rPr>
                <w:rFonts w:hint="eastAsia" w:ascii="宋体" w:hAnsi="宋体" w:cs="宋体"/>
                <w:color w:val="auto"/>
                <w:highlight w:val="none"/>
              </w:rPr>
              <w:t>联系人：</w:t>
            </w:r>
            <w:r>
              <w:rPr>
                <w:rFonts w:hint="eastAsia" w:ascii="宋体" w:hAnsi="宋体" w:cs="宋体"/>
                <w:color w:val="auto"/>
                <w:highlight w:val="none"/>
                <w:lang w:eastAsia="zh-CN"/>
              </w:rPr>
              <w:t>吴女士</w:t>
            </w:r>
          </w:p>
          <w:p>
            <w:pPr>
              <w:adjustRightInd w:val="0"/>
              <w:rPr>
                <w:rFonts w:hint="eastAsia" w:ascii="宋体" w:hAnsi="宋体" w:cs="宋体"/>
                <w:color w:val="auto"/>
                <w:highlight w:val="none"/>
              </w:rPr>
            </w:pPr>
            <w:r>
              <w:rPr>
                <w:rFonts w:hint="eastAsia" w:ascii="宋体" w:hAnsi="宋体" w:cs="宋体"/>
                <w:color w:val="auto"/>
                <w:highlight w:val="none"/>
              </w:rPr>
              <w:t>联系电话：0577- 63682718、15669781333</w:t>
            </w:r>
          </w:p>
          <w:p>
            <w:pPr>
              <w:adjustRightInd w:val="0"/>
              <w:rPr>
                <w:rFonts w:hint="eastAsia" w:ascii="宋体" w:hAnsi="宋体" w:cs="宋体"/>
                <w:color w:val="auto"/>
                <w:highlight w:val="none"/>
              </w:rPr>
            </w:pPr>
            <w:r>
              <w:rPr>
                <w:rFonts w:hint="eastAsia" w:ascii="宋体" w:hAnsi="宋体" w:cs="宋体"/>
                <w:color w:val="auto"/>
                <w:highlight w:val="none"/>
              </w:rPr>
              <w:t>联系传真：0577- 63682718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rPr>
                <w:rFonts w:hint="eastAsia" w:ascii="宋体" w:hAnsi="宋体" w:cs="宋体"/>
                <w:color w:val="auto"/>
                <w:highlight w:val="none"/>
              </w:rPr>
            </w:pPr>
            <w:r>
              <w:rPr>
                <w:rFonts w:hint="eastAsia" w:ascii="宋体" w:hAnsi="宋体" w:cs="宋体"/>
                <w:color w:val="auto"/>
                <w:highlight w:val="none"/>
              </w:rPr>
              <w:t>评标办法</w:t>
            </w:r>
          </w:p>
        </w:tc>
        <w:tc>
          <w:tcPr>
            <w:tcW w:w="7776" w:type="dxa"/>
            <w:noWrap w:val="0"/>
            <w:vAlign w:val="center"/>
          </w:tcPr>
          <w:p>
            <w:pPr>
              <w:adjustRightInd w:val="0"/>
              <w:rPr>
                <w:rFonts w:hint="eastAsia" w:ascii="宋体" w:hAnsi="宋体" w:cs="宋体"/>
                <w:color w:val="auto"/>
                <w:highlight w:val="none"/>
              </w:rPr>
            </w:pPr>
            <w:r>
              <w:rPr>
                <w:rFonts w:hint="eastAsia" w:ascii="宋体" w:hAnsi="宋体" w:cs="宋体"/>
                <w:color w:val="auto"/>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rPr>
                <w:rFonts w:hint="eastAsia" w:ascii="宋体" w:hAnsi="宋体" w:cs="宋体"/>
                <w:color w:val="auto"/>
                <w:highlight w:val="none"/>
              </w:rPr>
            </w:pPr>
            <w:r>
              <w:rPr>
                <w:rFonts w:hint="eastAsia" w:ascii="宋体" w:hAnsi="宋体" w:cs="宋体"/>
                <w:color w:val="auto"/>
                <w:highlight w:val="none"/>
              </w:rPr>
              <w:t>招标内容</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1"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rPr>
                <w:rFonts w:hint="eastAsia" w:ascii="宋体" w:hAnsi="宋体" w:cs="宋体"/>
                <w:color w:val="auto"/>
                <w:highlight w:val="none"/>
              </w:rPr>
            </w:pPr>
            <w:r>
              <w:rPr>
                <w:rFonts w:hint="eastAsia" w:ascii="宋体" w:hAnsi="宋体" w:cs="宋体"/>
                <w:color w:val="auto"/>
                <w:highlight w:val="none"/>
              </w:rPr>
              <w:t>投标供应商</w:t>
            </w:r>
          </w:p>
          <w:p>
            <w:pPr>
              <w:rPr>
                <w:rFonts w:hint="eastAsia" w:ascii="宋体" w:hAnsi="宋体" w:cs="宋体"/>
                <w:color w:val="auto"/>
                <w:highlight w:val="none"/>
              </w:rPr>
            </w:pPr>
            <w:r>
              <w:rPr>
                <w:rFonts w:hint="eastAsia" w:ascii="宋体" w:hAnsi="宋体" w:cs="宋体"/>
                <w:color w:val="auto"/>
                <w:highlight w:val="none"/>
              </w:rPr>
              <w:t>资格要求</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rPr>
                <w:rFonts w:hint="eastAsia" w:ascii="宋体" w:hAnsi="宋体" w:cs="宋体"/>
                <w:color w:val="auto"/>
                <w:highlight w:val="none"/>
              </w:rPr>
            </w:pPr>
            <w:r>
              <w:rPr>
                <w:rFonts w:hint="eastAsia" w:ascii="宋体" w:hAnsi="宋体" w:cs="宋体"/>
                <w:color w:val="auto"/>
                <w:highlight w:val="none"/>
              </w:rPr>
              <w:t>是否接受联合体投标</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eq \o\ac(□,√)</w:instrText>
            </w:r>
            <w:r>
              <w:rPr>
                <w:rFonts w:hint="eastAsia" w:ascii="宋体" w:hAnsi="宋体" w:cs="宋体"/>
                <w:color w:val="auto"/>
                <w:highlight w:val="none"/>
              </w:rPr>
              <w:fldChar w:fldCharType="end"/>
            </w:r>
            <w:r>
              <w:rPr>
                <w:rFonts w:hint="eastAsia" w:ascii="宋体" w:hAnsi="宋体" w:cs="宋体"/>
                <w:color w:val="auto"/>
                <w:highlight w:val="none"/>
              </w:rPr>
              <w:t>不接受</w:t>
            </w:r>
          </w:p>
          <w:p>
            <w:pPr>
              <w:rPr>
                <w:rFonts w:hint="eastAsia" w:ascii="宋体" w:hAnsi="宋体" w:cs="宋体"/>
                <w:color w:val="auto"/>
                <w:highlight w:val="none"/>
              </w:rPr>
            </w:pPr>
            <w:r>
              <w:rPr>
                <w:rFonts w:hint="eastAsia" w:ascii="宋体" w:hAnsi="宋体" w:cs="宋体"/>
                <w:color w:val="auto"/>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1"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rPr>
                <w:rFonts w:hint="eastAsia" w:ascii="宋体" w:hAnsi="宋体" w:cs="宋体"/>
                <w:color w:val="auto"/>
                <w:highlight w:val="none"/>
              </w:rPr>
            </w:pPr>
            <w:r>
              <w:rPr>
                <w:rFonts w:hint="eastAsia" w:ascii="宋体" w:hAnsi="宋体" w:cs="宋体"/>
                <w:color w:val="auto"/>
                <w:highlight w:val="none"/>
              </w:rPr>
              <w:t>踏勘现场</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eq \o\ac(□,√)</w:instrText>
            </w:r>
            <w:r>
              <w:rPr>
                <w:rFonts w:hint="eastAsia" w:ascii="宋体" w:hAnsi="宋体" w:cs="宋体"/>
                <w:color w:val="auto"/>
                <w:highlight w:val="none"/>
              </w:rPr>
              <w:fldChar w:fldCharType="end"/>
            </w:r>
            <w:r>
              <w:rPr>
                <w:rFonts w:hint="eastAsia" w:ascii="宋体" w:hAnsi="宋体" w:cs="宋体"/>
                <w:color w:val="auto"/>
                <w:highlight w:val="none"/>
              </w:rPr>
              <w:t>不组织</w:t>
            </w:r>
          </w:p>
          <w:p>
            <w:pPr>
              <w:rPr>
                <w:rFonts w:hint="eastAsia" w:ascii="宋体" w:hAnsi="宋体" w:cs="宋体"/>
                <w:color w:val="auto"/>
                <w:highlight w:val="none"/>
              </w:rPr>
            </w:pPr>
            <w:r>
              <w:rPr>
                <w:rFonts w:hint="eastAsia" w:ascii="宋体" w:hAnsi="宋体" w:cs="宋体"/>
                <w:color w:val="auto"/>
                <w:highlight w:val="none"/>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1"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rPr>
                <w:rFonts w:hint="eastAsia" w:ascii="宋体" w:hAnsi="宋体" w:cs="宋体"/>
                <w:color w:val="auto"/>
                <w:highlight w:val="none"/>
              </w:rPr>
            </w:pPr>
            <w:r>
              <w:rPr>
                <w:rFonts w:hint="eastAsia" w:ascii="宋体" w:hAnsi="宋体" w:cs="宋体"/>
                <w:color w:val="auto"/>
                <w:highlight w:val="none"/>
              </w:rPr>
              <w:t>是否允许递交备选投标方案</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eq \o\ac(□,√)</w:instrText>
            </w:r>
            <w:r>
              <w:rPr>
                <w:rFonts w:hint="eastAsia" w:ascii="宋体" w:hAnsi="宋体" w:cs="宋体"/>
                <w:color w:val="auto"/>
                <w:highlight w:val="none"/>
              </w:rPr>
              <w:fldChar w:fldCharType="end"/>
            </w:r>
            <w:r>
              <w:rPr>
                <w:rFonts w:hint="eastAsia" w:ascii="宋体" w:hAnsi="宋体" w:cs="宋体"/>
                <w:color w:val="auto"/>
                <w:highlight w:val="none"/>
              </w:rPr>
              <w:t>不允许</w:t>
            </w:r>
          </w:p>
          <w:p>
            <w:pPr>
              <w:rPr>
                <w:rFonts w:hint="eastAsia" w:ascii="宋体" w:hAnsi="宋体" w:cs="宋体"/>
                <w:color w:val="auto"/>
                <w:highlight w:val="none"/>
              </w:rPr>
            </w:pPr>
            <w:r>
              <w:rPr>
                <w:rFonts w:hint="eastAsia" w:ascii="宋体" w:hAnsi="宋体" w:cs="宋体"/>
                <w:color w:val="auto"/>
                <w:highlight w:val="none"/>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rPr>
                <w:rFonts w:hint="eastAsia" w:ascii="宋体" w:hAnsi="宋体" w:cs="宋体"/>
                <w:color w:val="auto"/>
                <w:highlight w:val="none"/>
              </w:rPr>
            </w:pPr>
            <w:r>
              <w:rPr>
                <w:rFonts w:hint="eastAsia" w:ascii="宋体" w:hAnsi="宋体" w:cs="宋体"/>
                <w:color w:val="auto"/>
                <w:highlight w:val="none"/>
              </w:rPr>
              <w:t>投标货币</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rPr>
                <w:rFonts w:hint="eastAsia" w:ascii="宋体" w:hAnsi="宋体" w:cs="宋体"/>
                <w:color w:val="auto"/>
                <w:highlight w:val="none"/>
              </w:rPr>
            </w:pPr>
            <w:r>
              <w:rPr>
                <w:rFonts w:hint="eastAsia" w:ascii="宋体" w:hAnsi="宋体" w:cs="宋体"/>
                <w:color w:val="auto"/>
                <w:highlight w:val="none"/>
              </w:rPr>
              <w:t>投标语言</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4"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rPr>
                <w:rFonts w:hint="eastAsia" w:ascii="宋体" w:hAnsi="宋体" w:cs="宋体"/>
                <w:color w:val="auto"/>
                <w:highlight w:val="none"/>
              </w:rPr>
            </w:pPr>
            <w:r>
              <w:rPr>
                <w:rFonts w:hint="eastAsia" w:ascii="宋体" w:hAnsi="宋体" w:cs="宋体"/>
                <w:color w:val="auto"/>
                <w:highlight w:val="none"/>
              </w:rPr>
              <w:t>投标文件份数</w:t>
            </w:r>
          </w:p>
        </w:tc>
        <w:tc>
          <w:tcPr>
            <w:tcW w:w="7776" w:type="dxa"/>
            <w:noWrap w:val="0"/>
            <w:vAlign w:val="center"/>
          </w:tcPr>
          <w:p>
            <w:pPr>
              <w:pStyle w:val="30"/>
              <w:tabs>
                <w:tab w:val="right" w:leader="dot" w:pos="9118"/>
              </w:tabs>
              <w:rPr>
                <w:rFonts w:hint="eastAsia" w:ascii="宋体" w:hAnsi="宋体" w:cs="宋体"/>
                <w:color w:val="auto"/>
                <w:highlight w:val="none"/>
              </w:rPr>
            </w:pPr>
            <w:r>
              <w:rPr>
                <w:rFonts w:hint="eastAsia" w:ascii="宋体" w:hAnsi="宋体" w:cs="宋体"/>
                <w:b/>
                <w:color w:val="auto"/>
                <w:highlight w:val="none"/>
                <w:u w:val="single"/>
              </w:rPr>
              <w:t>正本1份，副本</w:t>
            </w:r>
            <w:r>
              <w:rPr>
                <w:rFonts w:hint="eastAsia" w:ascii="宋体" w:hAnsi="宋体" w:eastAsia="宋体" w:cs="宋体"/>
                <w:b/>
                <w:color w:val="auto"/>
                <w:highlight w:val="none"/>
                <w:u w:val="single"/>
                <w:lang w:val="en-US" w:eastAsia="zh-CN"/>
              </w:rPr>
              <w:t>6</w:t>
            </w:r>
            <w:r>
              <w:rPr>
                <w:rFonts w:hint="eastAsia" w:ascii="宋体" w:hAnsi="宋体" w:cs="宋体"/>
                <w:b/>
                <w:color w:val="auto"/>
                <w:highlight w:val="none"/>
                <w:u w:val="single"/>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0"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adjustRightInd w:val="0"/>
              <w:rPr>
                <w:rFonts w:hint="eastAsia" w:ascii="宋体" w:hAnsi="宋体" w:cs="宋体"/>
                <w:color w:val="auto"/>
                <w:highlight w:val="none"/>
              </w:rPr>
            </w:pPr>
            <w:r>
              <w:rPr>
                <w:rFonts w:hint="eastAsia" w:ascii="宋体" w:hAnsi="宋体" w:cs="宋体"/>
                <w:color w:val="auto"/>
                <w:highlight w:val="none"/>
              </w:rPr>
              <w:t>投标有效期</w:t>
            </w:r>
          </w:p>
        </w:tc>
        <w:tc>
          <w:tcPr>
            <w:tcW w:w="7776" w:type="dxa"/>
            <w:noWrap w:val="0"/>
            <w:vAlign w:val="center"/>
          </w:tcPr>
          <w:p>
            <w:pPr>
              <w:adjustRightInd w:val="0"/>
              <w:rPr>
                <w:rFonts w:hint="eastAsia" w:ascii="宋体" w:hAnsi="宋体" w:cs="宋体"/>
                <w:color w:val="auto"/>
                <w:highlight w:val="none"/>
              </w:rPr>
            </w:pPr>
            <w:r>
              <w:rPr>
                <w:rFonts w:hint="eastAsia" w:ascii="宋体" w:hAnsi="宋体" w:cs="宋体"/>
                <w:color w:val="auto"/>
                <w:highlight w:val="none"/>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adjustRightInd w:val="0"/>
              <w:rPr>
                <w:rFonts w:hint="eastAsia" w:ascii="宋体" w:hAnsi="宋体" w:cs="宋体"/>
                <w:color w:val="auto"/>
                <w:highlight w:val="none"/>
              </w:rPr>
            </w:pPr>
            <w:r>
              <w:rPr>
                <w:rFonts w:hint="eastAsia" w:ascii="宋体" w:hAnsi="宋体" w:cs="宋体"/>
                <w:color w:val="auto"/>
                <w:highlight w:val="none"/>
              </w:rPr>
              <w:t>签字或盖章要求</w:t>
            </w:r>
          </w:p>
        </w:tc>
        <w:tc>
          <w:tcPr>
            <w:tcW w:w="7776" w:type="dxa"/>
            <w:noWrap w:val="0"/>
            <w:vAlign w:val="center"/>
          </w:tcPr>
          <w:p>
            <w:pPr>
              <w:adjustRightInd w:val="0"/>
              <w:rPr>
                <w:rFonts w:hint="eastAsia" w:ascii="宋体" w:hAnsi="宋体" w:cs="宋体"/>
                <w:color w:val="auto"/>
                <w:highlight w:val="none"/>
              </w:rPr>
            </w:pPr>
            <w:r>
              <w:rPr>
                <w:rFonts w:hint="eastAsia" w:ascii="宋体" w:hAnsi="宋体" w:cs="宋体"/>
                <w:color w:val="auto"/>
                <w:highlight w:val="none"/>
              </w:rPr>
              <w:t>投标文件的正本及所有副本均须按招标文件格式要求，由投标供应商加盖单位公章和法定代表人或其授权代表印章（或签字）。投标文件中所涉及的公章必须是投标供应商全称的公章，不得使用投标专用章、合同章等类似图章代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密封、装订</w:t>
            </w:r>
          </w:p>
          <w:p>
            <w:pPr>
              <w:jc w:val="center"/>
              <w:rPr>
                <w:rFonts w:hint="eastAsia" w:ascii="宋体" w:hAnsi="宋体" w:cs="宋体"/>
                <w:color w:val="auto"/>
                <w:highlight w:val="none"/>
              </w:rPr>
            </w:pPr>
            <w:r>
              <w:rPr>
                <w:rFonts w:hint="eastAsia" w:ascii="宋体" w:hAnsi="宋体" w:cs="宋体"/>
                <w:color w:val="auto"/>
                <w:highlight w:val="none"/>
              </w:rPr>
              <w:t>要求</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投标供应商应将投标文件的商务报价文件与技术资信部分投标文件分开包装密封，封口处应有投标供应商公章及法定代表人或其授权代表印章（或签字）。如投标文件的商务报价文件与技术资信部分投标文件未分开制作与包装或未密封，投标文件将被拒绝接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投标样品</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eq \o\ac(□,√)</w:instrText>
            </w:r>
            <w:r>
              <w:rPr>
                <w:rFonts w:hint="eastAsia" w:ascii="宋体" w:hAnsi="宋体" w:cs="宋体"/>
                <w:color w:val="auto"/>
                <w:highlight w:val="none"/>
              </w:rPr>
              <w:fldChar w:fldCharType="end"/>
            </w:r>
            <w:r>
              <w:rPr>
                <w:rFonts w:hint="eastAsia" w:ascii="宋体" w:hAnsi="宋体" w:cs="宋体"/>
                <w:color w:val="auto"/>
                <w:highlight w:val="none"/>
              </w:rPr>
              <w:t>不需要</w:t>
            </w:r>
          </w:p>
          <w:p>
            <w:pPr>
              <w:rPr>
                <w:rFonts w:hint="eastAsia" w:ascii="宋体" w:hAnsi="宋体" w:cs="宋体"/>
                <w:color w:val="auto"/>
                <w:highlight w:val="none"/>
              </w:rPr>
            </w:pPr>
            <w:r>
              <w:rPr>
                <w:rFonts w:hint="eastAsia" w:ascii="宋体" w:hAnsi="宋体" w:cs="宋体"/>
                <w:color w:val="auto"/>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投标保证金</w:t>
            </w:r>
          </w:p>
        </w:tc>
        <w:tc>
          <w:tcPr>
            <w:tcW w:w="7776" w:type="dxa"/>
            <w:noWrap w:val="0"/>
            <w:vAlign w:val="center"/>
          </w:tcPr>
          <w:p>
            <w:pPr>
              <w:ind w:left="1065" w:hanging="1064" w:hangingChars="484"/>
              <w:rPr>
                <w:rFonts w:hint="eastAsia" w:ascii="宋体" w:hAnsi="宋体" w:cs="宋体"/>
                <w:color w:val="auto"/>
                <w:highlight w:val="none"/>
              </w:rPr>
            </w:pPr>
            <w:r>
              <w:rPr>
                <w:rFonts w:hint="eastAsia" w:ascii="宋体" w:hAnsi="宋体" w:cs="宋体"/>
                <w:bCs/>
                <w:color w:val="auto"/>
                <w:highlight w:val="none"/>
              </w:rPr>
              <w:t>详见投标保证金办理注意事项。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adjustRightInd w:val="0"/>
              <w:jc w:val="center"/>
              <w:rPr>
                <w:rFonts w:hint="eastAsia" w:ascii="宋体" w:hAnsi="宋体" w:cs="宋体"/>
                <w:color w:val="auto"/>
                <w:highlight w:val="none"/>
              </w:rPr>
            </w:pPr>
            <w:r>
              <w:rPr>
                <w:rFonts w:hint="eastAsia" w:ascii="宋体" w:hAnsi="宋体" w:cs="宋体"/>
                <w:color w:val="auto"/>
                <w:highlight w:val="none"/>
              </w:rPr>
              <w:t>履约担保</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□不需要</w:t>
            </w:r>
          </w:p>
          <w:p>
            <w:pPr>
              <w:adjustRightInd w:val="0"/>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eq \o\ac(□,√)</w:instrText>
            </w:r>
            <w:r>
              <w:rPr>
                <w:rFonts w:hint="eastAsia" w:ascii="宋体" w:hAnsi="宋体" w:cs="宋体"/>
                <w:color w:val="auto"/>
                <w:highlight w:val="none"/>
              </w:rPr>
              <w:fldChar w:fldCharType="end"/>
            </w:r>
            <w:r>
              <w:rPr>
                <w:rFonts w:hint="eastAsia" w:ascii="宋体" w:hAnsi="宋体" w:cs="宋体"/>
                <w:color w:val="auto"/>
                <w:highlight w:val="none"/>
              </w:rPr>
              <w:t xml:space="preserve">需要 </w:t>
            </w:r>
            <w:r>
              <w:rPr>
                <w:rFonts w:hint="eastAsia" w:ascii="宋体" w:hAnsi="宋体" w:cs="宋体"/>
                <w:color w:val="auto"/>
                <w:szCs w:val="22"/>
                <w:highlight w:val="none"/>
              </w:rPr>
              <w:t>向采购人提供合同总金额</w:t>
            </w:r>
            <w:r>
              <w:rPr>
                <w:rFonts w:hint="eastAsia" w:ascii="宋体" w:hAnsi="宋体"/>
                <w:color w:val="auto"/>
                <w:szCs w:val="22"/>
                <w:highlight w:val="none"/>
                <w:lang w:val="en-US" w:eastAsia="zh-CN"/>
              </w:rPr>
              <w:t>5</w:t>
            </w:r>
            <w:r>
              <w:rPr>
                <w:rFonts w:hint="eastAsia" w:ascii="宋体" w:hAnsi="宋体"/>
                <w:color w:val="auto"/>
                <w:szCs w:val="22"/>
                <w:highlight w:val="none"/>
              </w:rPr>
              <w:t>%</w:t>
            </w:r>
            <w:r>
              <w:rPr>
                <w:rFonts w:hint="eastAsia" w:ascii="宋体" w:hAnsi="宋体" w:cs="宋体"/>
                <w:color w:val="auto"/>
                <w:szCs w:val="22"/>
                <w:highlight w:val="none"/>
              </w:rPr>
              <w:t>的履约保证金至采购人指定账户。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招标文件发售时间及获取方式</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按照采购公告规定的时间获取。</w:t>
            </w:r>
          </w:p>
          <w:p>
            <w:pPr>
              <w:rPr>
                <w:rFonts w:hint="eastAsia" w:ascii="宋体" w:hAnsi="宋体" w:cs="宋体"/>
                <w:color w:val="auto"/>
                <w:highlight w:val="none"/>
              </w:rPr>
            </w:pPr>
            <w:r>
              <w:rPr>
                <w:rFonts w:hint="eastAsia" w:ascii="宋体" w:hAnsi="宋体" w:cs="宋体"/>
                <w:color w:val="auto"/>
                <w:highlight w:val="none"/>
              </w:rPr>
              <w:t>□现场报名后获取；</w:t>
            </w:r>
          </w:p>
          <w:p>
            <w:pPr>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eq \o\ac(□,√)</w:instrText>
            </w:r>
            <w:r>
              <w:rPr>
                <w:rFonts w:hint="eastAsia" w:ascii="宋体" w:hAnsi="宋体" w:cs="宋体"/>
                <w:color w:val="auto"/>
                <w:highlight w:val="none"/>
              </w:rPr>
              <w:fldChar w:fldCharType="end"/>
            </w:r>
            <w:r>
              <w:rPr>
                <w:rFonts w:hint="eastAsia" w:ascii="宋体" w:hAnsi="宋体" w:cs="宋体"/>
                <w:color w:val="auto"/>
                <w:highlight w:val="none"/>
              </w:rPr>
              <w:t>直接从浙江政府采购网（http://www.zjzfcg.gov.cn）或温州市公共资源交易网平阳县分网http：// www.pyztb.com /直接下载。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投标截止时间</w:t>
            </w:r>
          </w:p>
        </w:tc>
        <w:tc>
          <w:tcPr>
            <w:tcW w:w="7776" w:type="dxa"/>
            <w:noWrap w:val="0"/>
            <w:vAlign w:val="center"/>
          </w:tcPr>
          <w:p>
            <w:pPr>
              <w:rPr>
                <w:rFonts w:hint="eastAsia" w:ascii="宋体" w:hAnsi="宋体" w:cs="宋体"/>
                <w:color w:val="auto"/>
                <w:kern w:val="0"/>
                <w:szCs w:val="22"/>
                <w:highlight w:val="none"/>
              </w:rPr>
            </w:pPr>
            <w:r>
              <w:rPr>
                <w:rFonts w:hint="eastAsia" w:ascii="宋体" w:hAnsi="宋体" w:cs="宋体"/>
                <w:color w:val="auto"/>
                <w:kern w:val="0"/>
                <w:szCs w:val="22"/>
                <w:highlight w:val="none"/>
              </w:rPr>
              <w:t>202</w:t>
            </w:r>
            <w:r>
              <w:rPr>
                <w:rFonts w:hint="eastAsia" w:ascii="宋体" w:hAnsi="宋体" w:cs="宋体"/>
                <w:color w:val="auto"/>
                <w:kern w:val="0"/>
                <w:szCs w:val="22"/>
                <w:highlight w:val="none"/>
                <w:lang w:val="en-US" w:eastAsia="zh-CN"/>
              </w:rPr>
              <w:t>1</w:t>
            </w:r>
            <w:r>
              <w:rPr>
                <w:rFonts w:hint="eastAsia" w:ascii="宋体" w:hAnsi="宋体" w:cs="宋体"/>
                <w:color w:val="auto"/>
                <w:kern w:val="0"/>
                <w:szCs w:val="22"/>
                <w:highlight w:val="none"/>
              </w:rPr>
              <w:t>年</w:t>
            </w:r>
            <w:r>
              <w:rPr>
                <w:rFonts w:hint="eastAsia" w:ascii="宋体" w:hAnsi="宋体" w:cs="宋体"/>
                <w:color w:val="auto"/>
                <w:kern w:val="0"/>
                <w:szCs w:val="22"/>
                <w:highlight w:val="none"/>
                <w:lang w:val="en-US" w:eastAsia="zh-CN"/>
              </w:rPr>
              <w:t xml:space="preserve">  </w:t>
            </w:r>
            <w:r>
              <w:rPr>
                <w:rFonts w:hint="eastAsia" w:ascii="宋体" w:hAnsi="宋体" w:cs="宋体"/>
                <w:color w:val="auto"/>
                <w:kern w:val="0"/>
                <w:szCs w:val="22"/>
                <w:highlight w:val="none"/>
              </w:rPr>
              <w:t>月</w:t>
            </w:r>
            <w:r>
              <w:rPr>
                <w:rFonts w:hint="eastAsia" w:ascii="宋体" w:hAnsi="宋体" w:cs="宋体"/>
                <w:color w:val="auto"/>
                <w:kern w:val="0"/>
                <w:szCs w:val="22"/>
                <w:highlight w:val="none"/>
                <w:lang w:val="en-US" w:eastAsia="zh-CN"/>
              </w:rPr>
              <w:t xml:space="preserve">  </w:t>
            </w:r>
            <w:r>
              <w:rPr>
                <w:rFonts w:hint="eastAsia" w:ascii="宋体" w:hAnsi="宋体" w:cs="宋体"/>
                <w:color w:val="auto"/>
                <w:kern w:val="0"/>
                <w:szCs w:val="22"/>
                <w:highlight w:val="none"/>
              </w:rPr>
              <w:t>日  上午09：30截止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投标文件递交时间及地点</w:t>
            </w:r>
          </w:p>
        </w:tc>
        <w:tc>
          <w:tcPr>
            <w:tcW w:w="7776" w:type="dxa"/>
            <w:noWrap w:val="0"/>
            <w:vAlign w:val="center"/>
          </w:tcPr>
          <w:p>
            <w:pPr>
              <w:rPr>
                <w:rFonts w:hint="eastAsia" w:ascii="宋体" w:hAnsi="宋体" w:cs="宋体"/>
                <w:color w:val="auto"/>
                <w:kern w:val="0"/>
                <w:szCs w:val="22"/>
                <w:highlight w:val="none"/>
              </w:rPr>
            </w:pPr>
            <w:r>
              <w:rPr>
                <w:rFonts w:hint="eastAsia" w:ascii="宋体" w:hAnsi="宋体" w:cs="宋体"/>
                <w:color w:val="auto"/>
                <w:kern w:val="0"/>
                <w:szCs w:val="22"/>
                <w:highlight w:val="none"/>
              </w:rPr>
              <w:t>202</w:t>
            </w:r>
            <w:r>
              <w:rPr>
                <w:rFonts w:hint="eastAsia" w:ascii="宋体" w:hAnsi="宋体" w:cs="宋体"/>
                <w:color w:val="auto"/>
                <w:kern w:val="0"/>
                <w:szCs w:val="22"/>
                <w:highlight w:val="none"/>
                <w:lang w:val="en-US" w:eastAsia="zh-CN"/>
              </w:rPr>
              <w:t>1</w:t>
            </w:r>
            <w:r>
              <w:rPr>
                <w:rFonts w:hint="eastAsia" w:ascii="宋体" w:hAnsi="宋体" w:cs="宋体"/>
                <w:color w:val="auto"/>
                <w:kern w:val="0"/>
                <w:szCs w:val="22"/>
                <w:highlight w:val="none"/>
              </w:rPr>
              <w:t>年</w:t>
            </w:r>
            <w:r>
              <w:rPr>
                <w:rFonts w:hint="eastAsia" w:ascii="宋体" w:hAnsi="宋体" w:cs="宋体"/>
                <w:color w:val="auto"/>
                <w:kern w:val="0"/>
                <w:szCs w:val="22"/>
                <w:highlight w:val="none"/>
                <w:lang w:val="en-US" w:eastAsia="zh-CN"/>
              </w:rPr>
              <w:t xml:space="preserve">  </w:t>
            </w:r>
            <w:r>
              <w:rPr>
                <w:rFonts w:hint="eastAsia" w:ascii="宋体" w:hAnsi="宋体" w:cs="宋体"/>
                <w:color w:val="auto"/>
                <w:kern w:val="0"/>
                <w:szCs w:val="22"/>
                <w:highlight w:val="none"/>
              </w:rPr>
              <w:t>月</w:t>
            </w:r>
            <w:r>
              <w:rPr>
                <w:rFonts w:hint="eastAsia" w:ascii="宋体" w:hAnsi="宋体" w:cs="宋体"/>
                <w:color w:val="auto"/>
                <w:kern w:val="0"/>
                <w:szCs w:val="22"/>
                <w:highlight w:val="none"/>
                <w:lang w:val="en-US" w:eastAsia="zh-CN"/>
              </w:rPr>
              <w:t xml:space="preserve">  </w:t>
            </w:r>
            <w:r>
              <w:rPr>
                <w:rFonts w:hint="eastAsia" w:ascii="宋体" w:hAnsi="宋体" w:cs="宋体"/>
                <w:color w:val="auto"/>
                <w:kern w:val="0"/>
                <w:szCs w:val="22"/>
                <w:highlight w:val="none"/>
              </w:rPr>
              <w:t>日  上午09：30截止</w:t>
            </w:r>
          </w:p>
          <w:p>
            <w:pPr>
              <w:rPr>
                <w:rFonts w:hint="eastAsia" w:ascii="宋体" w:hAnsi="宋体" w:cs="宋体"/>
                <w:color w:val="auto"/>
                <w:kern w:val="0"/>
                <w:szCs w:val="22"/>
                <w:highlight w:val="none"/>
              </w:rPr>
            </w:pPr>
            <w:r>
              <w:rPr>
                <w:rFonts w:hint="eastAsia" w:ascii="宋体" w:hAnsi="宋体" w:cs="宋体"/>
                <w:color w:val="auto"/>
                <w:kern w:val="0"/>
                <w:szCs w:val="22"/>
                <w:highlight w:val="none"/>
              </w:rPr>
              <w:t>投标文件递交地点：平阳县公共资源交易中心二楼大厅（平阳县鳌江镇火车站大道和谐家园二楼）。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开标时间</w:t>
            </w:r>
          </w:p>
          <w:p>
            <w:pPr>
              <w:jc w:val="center"/>
              <w:rPr>
                <w:rFonts w:hint="eastAsia" w:ascii="宋体" w:hAnsi="宋体" w:cs="宋体"/>
                <w:color w:val="auto"/>
                <w:highlight w:val="none"/>
              </w:rPr>
            </w:pPr>
            <w:r>
              <w:rPr>
                <w:rFonts w:hint="eastAsia" w:ascii="宋体" w:hAnsi="宋体" w:cs="宋体"/>
                <w:color w:val="auto"/>
                <w:highlight w:val="none"/>
              </w:rPr>
              <w:t>开标地点</w:t>
            </w:r>
          </w:p>
          <w:p>
            <w:pPr>
              <w:jc w:val="center"/>
              <w:rPr>
                <w:rFonts w:hint="eastAsia" w:ascii="宋体" w:hAnsi="宋体" w:cs="宋体"/>
                <w:color w:val="auto"/>
                <w:highlight w:val="none"/>
              </w:rPr>
            </w:pPr>
            <w:r>
              <w:rPr>
                <w:rFonts w:hint="eastAsia" w:ascii="宋体" w:hAnsi="宋体" w:cs="宋体"/>
                <w:color w:val="auto"/>
                <w:highlight w:val="none"/>
              </w:rPr>
              <w:t>注意事项</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kern w:val="0"/>
                <w:szCs w:val="22"/>
                <w:highlight w:val="none"/>
              </w:rPr>
              <w:t>202</w:t>
            </w:r>
            <w:r>
              <w:rPr>
                <w:rFonts w:hint="eastAsia" w:ascii="宋体" w:hAnsi="宋体" w:cs="宋体"/>
                <w:color w:val="auto"/>
                <w:kern w:val="0"/>
                <w:szCs w:val="22"/>
                <w:highlight w:val="none"/>
                <w:lang w:val="en-US" w:eastAsia="zh-CN"/>
              </w:rPr>
              <w:t>1</w:t>
            </w:r>
            <w:r>
              <w:rPr>
                <w:rFonts w:hint="eastAsia" w:ascii="宋体" w:hAnsi="宋体" w:cs="宋体"/>
                <w:color w:val="auto"/>
                <w:kern w:val="0"/>
                <w:szCs w:val="22"/>
                <w:highlight w:val="none"/>
              </w:rPr>
              <w:t>年</w:t>
            </w:r>
            <w:r>
              <w:rPr>
                <w:rFonts w:hint="eastAsia" w:ascii="宋体" w:hAnsi="宋体" w:cs="宋体"/>
                <w:color w:val="auto"/>
                <w:kern w:val="0"/>
                <w:szCs w:val="22"/>
                <w:highlight w:val="none"/>
                <w:lang w:val="en-US" w:eastAsia="zh-CN"/>
              </w:rPr>
              <w:t xml:space="preserve">  </w:t>
            </w:r>
            <w:r>
              <w:rPr>
                <w:rFonts w:hint="eastAsia" w:ascii="宋体" w:hAnsi="宋体" w:cs="宋体"/>
                <w:color w:val="auto"/>
                <w:kern w:val="0"/>
                <w:szCs w:val="22"/>
                <w:highlight w:val="none"/>
              </w:rPr>
              <w:t>月</w:t>
            </w:r>
            <w:r>
              <w:rPr>
                <w:rFonts w:hint="eastAsia" w:ascii="宋体" w:hAnsi="宋体" w:cs="宋体"/>
                <w:color w:val="auto"/>
                <w:kern w:val="0"/>
                <w:szCs w:val="22"/>
                <w:highlight w:val="none"/>
                <w:lang w:val="en-US" w:eastAsia="zh-CN"/>
              </w:rPr>
              <w:t xml:space="preserve">  </w:t>
            </w:r>
            <w:r>
              <w:rPr>
                <w:rFonts w:hint="eastAsia" w:ascii="宋体" w:hAnsi="宋体" w:cs="宋体"/>
                <w:color w:val="auto"/>
                <w:kern w:val="0"/>
                <w:szCs w:val="22"/>
                <w:highlight w:val="none"/>
              </w:rPr>
              <w:t>日  上午09：30</w:t>
            </w:r>
            <w:r>
              <w:rPr>
                <w:rFonts w:hint="eastAsia" w:ascii="宋体" w:hAnsi="宋体" w:cs="宋体"/>
                <w:color w:val="auto"/>
                <w:highlight w:val="none"/>
              </w:rPr>
              <w:t>正</w:t>
            </w:r>
          </w:p>
          <w:p>
            <w:pPr>
              <w:rPr>
                <w:rFonts w:hint="eastAsia" w:ascii="宋体" w:hAnsi="宋体" w:cs="宋体"/>
                <w:color w:val="auto"/>
                <w:szCs w:val="22"/>
                <w:highlight w:val="none"/>
              </w:rPr>
            </w:pPr>
            <w:r>
              <w:rPr>
                <w:rFonts w:hint="eastAsia" w:ascii="宋体" w:hAnsi="宋体" w:cs="宋体"/>
                <w:color w:val="auto"/>
                <w:highlight w:val="none"/>
              </w:rPr>
              <w:t>开标地点</w:t>
            </w:r>
            <w:r>
              <w:rPr>
                <w:rFonts w:hint="eastAsia" w:ascii="宋体" w:hAnsi="宋体" w:cs="宋体"/>
                <w:color w:val="auto"/>
                <w:szCs w:val="22"/>
                <w:highlight w:val="none"/>
              </w:rPr>
              <w:t xml:space="preserve">：平阳县公共资源交易中心二楼大厅（平阳县鳌江镇火车站大道和谐家园二楼）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开标程序</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（1）宣布开标纪律；</w:t>
            </w:r>
          </w:p>
          <w:p>
            <w:pPr>
              <w:rPr>
                <w:rFonts w:hint="eastAsia" w:ascii="宋体" w:hAnsi="宋体" w:cs="宋体"/>
                <w:color w:val="auto"/>
                <w:highlight w:val="none"/>
              </w:rPr>
            </w:pPr>
            <w:r>
              <w:rPr>
                <w:rFonts w:hint="eastAsia" w:ascii="宋体" w:hAnsi="宋体" w:cs="宋体"/>
                <w:color w:val="auto"/>
                <w:highlight w:val="none"/>
              </w:rPr>
              <w:t>（2）公布在投标截止时间前递交投标文件的投标供应商名称，并点名确认投标供应商是否派授权代表到场；</w:t>
            </w:r>
          </w:p>
          <w:p>
            <w:pPr>
              <w:rPr>
                <w:rFonts w:hint="eastAsia" w:ascii="宋体" w:hAnsi="宋体" w:cs="宋体"/>
                <w:color w:val="auto"/>
                <w:highlight w:val="none"/>
              </w:rPr>
            </w:pPr>
            <w:r>
              <w:rPr>
                <w:rFonts w:hint="eastAsia" w:ascii="宋体" w:hAnsi="宋体" w:cs="宋体"/>
                <w:color w:val="auto"/>
                <w:highlight w:val="none"/>
              </w:rPr>
              <w:t>（3）宣布唱标人、记录人、监督人员等有关人员姓名；</w:t>
            </w:r>
          </w:p>
          <w:p>
            <w:pPr>
              <w:rPr>
                <w:rFonts w:hint="eastAsia" w:ascii="宋体" w:hAnsi="宋体" w:cs="宋体"/>
                <w:color w:val="auto"/>
                <w:highlight w:val="none"/>
              </w:rPr>
            </w:pPr>
            <w:r>
              <w:rPr>
                <w:rFonts w:hint="eastAsia" w:ascii="宋体" w:hAnsi="宋体" w:cs="宋体"/>
                <w:color w:val="auto"/>
                <w:highlight w:val="none"/>
              </w:rPr>
              <w:t>（4）密封情况检查：由监督人员或投标供应商推选的代表检查投标文件密封情况；</w:t>
            </w:r>
          </w:p>
          <w:p>
            <w:pPr>
              <w:rPr>
                <w:rFonts w:hint="eastAsia" w:ascii="宋体" w:hAnsi="宋体" w:cs="宋体"/>
                <w:color w:val="auto"/>
                <w:highlight w:val="none"/>
              </w:rPr>
            </w:pPr>
            <w:r>
              <w:rPr>
                <w:rFonts w:hint="eastAsia" w:ascii="宋体" w:hAnsi="宋体" w:cs="宋体"/>
                <w:color w:val="auto"/>
                <w:highlight w:val="none"/>
              </w:rPr>
              <w:t>（5）开标顺序：投标供应商送达投标文件的逆序；先开启技术资信部分投标文件，评审结束后，宣布资格审核情况及技术资信评审情况，再开启报价文件；</w:t>
            </w:r>
          </w:p>
          <w:p>
            <w:pPr>
              <w:rPr>
                <w:rFonts w:hint="eastAsia" w:ascii="宋体" w:hAnsi="宋体" w:cs="宋体"/>
                <w:color w:val="auto"/>
                <w:highlight w:val="none"/>
              </w:rPr>
            </w:pPr>
            <w:r>
              <w:rPr>
                <w:rFonts w:hint="eastAsia" w:ascii="宋体" w:hAnsi="宋体" w:cs="宋体"/>
                <w:color w:val="auto"/>
                <w:highlight w:val="none"/>
              </w:rPr>
              <w:t>（6）确认开标结果：投标供应商授权代表对开标记录进行当场校核及勘误，并签字确认；并同时由记录人、监督人当场签字确认。</w:t>
            </w:r>
          </w:p>
          <w:p>
            <w:pPr>
              <w:rPr>
                <w:rFonts w:hint="eastAsia" w:ascii="宋体" w:hAnsi="宋体" w:cs="宋体"/>
                <w:color w:val="auto"/>
                <w:highlight w:val="none"/>
              </w:rPr>
            </w:pPr>
            <w:r>
              <w:rPr>
                <w:rFonts w:hint="eastAsia" w:ascii="宋体" w:hAnsi="宋体" w:cs="宋体"/>
                <w:color w:val="auto"/>
                <w:highlight w:val="none"/>
              </w:rPr>
              <w:t>（7）宣布开标结束。</w:t>
            </w:r>
          </w:p>
          <w:p>
            <w:pPr>
              <w:rPr>
                <w:rFonts w:hint="eastAsia" w:ascii="宋体" w:hAnsi="宋体" w:cs="宋体"/>
                <w:color w:val="auto"/>
                <w:highlight w:val="none"/>
              </w:rPr>
            </w:pPr>
            <w:r>
              <w:rPr>
                <w:rFonts w:hint="eastAsia" w:ascii="宋体" w:hAnsi="宋体" w:cs="宋体"/>
                <w:color w:val="auto"/>
                <w:highlight w:val="none"/>
              </w:rPr>
              <w:t>（8）投标供应商授权代表未参加开标会议；未到场签字确认的，不影响开标，评标过程，视同认可开标结果；事后不得对采购相关人员、开标过程和开标结果提出异议。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评审委员会的</w:t>
            </w:r>
          </w:p>
          <w:p>
            <w:pPr>
              <w:jc w:val="center"/>
              <w:rPr>
                <w:rFonts w:hint="eastAsia" w:ascii="宋体" w:hAnsi="宋体" w:cs="宋体"/>
                <w:color w:val="auto"/>
                <w:highlight w:val="none"/>
              </w:rPr>
            </w:pPr>
            <w:r>
              <w:rPr>
                <w:rFonts w:hint="eastAsia" w:ascii="宋体" w:hAnsi="宋体" w:cs="宋体"/>
                <w:color w:val="auto"/>
                <w:highlight w:val="none"/>
              </w:rPr>
              <w:t>组建</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评标委员会构成：采购人依法组建，成员人数应当为</w:t>
            </w:r>
            <w:r>
              <w:rPr>
                <w:rFonts w:hint="eastAsia" w:ascii="宋体" w:hAnsi="宋体" w:eastAsia="宋体" w:cs="宋体"/>
                <w:color w:val="auto"/>
                <w:highlight w:val="none"/>
                <w:lang w:val="en-US" w:eastAsia="zh-CN"/>
              </w:rPr>
              <w:t>7</w:t>
            </w:r>
            <w:r>
              <w:rPr>
                <w:rFonts w:hint="eastAsia" w:ascii="宋体" w:hAnsi="宋体" w:cs="宋体"/>
                <w:color w:val="auto"/>
                <w:highlight w:val="none"/>
              </w:rPr>
              <w:t>人或以上单数，其中评审专家不得少于成员总数的三分之二；评审专家确定方式：按相关规定从专家库中抽取。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adjustRightInd w:val="0"/>
              <w:jc w:val="center"/>
              <w:rPr>
                <w:rFonts w:hint="eastAsia" w:ascii="宋体" w:hAnsi="宋体" w:cs="宋体"/>
                <w:color w:val="auto"/>
                <w:highlight w:val="none"/>
              </w:rPr>
            </w:pPr>
            <w:r>
              <w:rPr>
                <w:rFonts w:hint="eastAsia" w:ascii="宋体" w:hAnsi="宋体" w:cs="宋体"/>
                <w:color w:val="auto"/>
                <w:highlight w:val="none"/>
              </w:rPr>
              <w:t>政府采购</w:t>
            </w:r>
          </w:p>
          <w:p>
            <w:pPr>
              <w:adjustRightInd w:val="0"/>
              <w:jc w:val="center"/>
              <w:rPr>
                <w:rFonts w:hint="eastAsia" w:ascii="宋体" w:hAnsi="宋体" w:cs="宋体"/>
                <w:color w:val="auto"/>
                <w:highlight w:val="none"/>
              </w:rPr>
            </w:pPr>
            <w:r>
              <w:rPr>
                <w:rFonts w:hint="eastAsia" w:ascii="宋体" w:hAnsi="宋体" w:cs="宋体"/>
                <w:color w:val="auto"/>
                <w:highlight w:val="none"/>
              </w:rPr>
              <w:t>扶持政策</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1、对符合财政扶持政策的小微企业（或监狱企业、残疾人福利性单位）给予评标价格优惠。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rPr>
                <w:rFonts w:hint="eastAsia" w:ascii="宋体" w:hAnsi="宋体" w:cs="宋体"/>
                <w:color w:val="auto"/>
                <w:highlight w:val="none"/>
              </w:rPr>
            </w:pPr>
            <w:r>
              <w:rPr>
                <w:rFonts w:hint="eastAsia" w:ascii="宋体" w:hAnsi="宋体" w:cs="宋体"/>
                <w:color w:val="auto"/>
                <w:highlight w:val="none"/>
              </w:rPr>
              <w:t>供应商信用查询</w:t>
            </w:r>
          </w:p>
        </w:tc>
        <w:tc>
          <w:tcPr>
            <w:tcW w:w="7776" w:type="dxa"/>
            <w:noWrap w:val="0"/>
            <w:vAlign w:val="center"/>
          </w:tcPr>
          <w:p>
            <w:pPr>
              <w:rPr>
                <w:rFonts w:ascii="宋体" w:hAnsi="宋体"/>
                <w:color w:val="auto"/>
                <w:highlight w:val="none"/>
              </w:rPr>
            </w:pPr>
            <w:r>
              <w:rPr>
                <w:rFonts w:hint="eastAsia" w:ascii="宋体" w:hAnsi="宋体"/>
                <w:color w:val="auto"/>
                <w:highlight w:val="none"/>
              </w:rPr>
              <w:t>1、投标供应商信用信息查询的查询渠道：“信用中国”(</w:t>
            </w:r>
            <w:r>
              <w:rPr>
                <w:rFonts w:ascii="宋体" w:hAnsi="宋体"/>
                <w:color w:val="auto"/>
                <w:highlight w:val="none"/>
              </w:rPr>
              <w:fldChar w:fldCharType="begin"/>
            </w:r>
            <w:r>
              <w:rPr>
                <w:rFonts w:ascii="宋体" w:hAnsi="宋体"/>
                <w:color w:val="auto"/>
                <w:highlight w:val="none"/>
              </w:rPr>
              <w:instrText xml:space="preserve"> HYPERLINK "http://www.creditchina.gov.cn" </w:instrText>
            </w:r>
            <w:r>
              <w:rPr>
                <w:rFonts w:ascii="宋体" w:hAnsi="宋体"/>
                <w:color w:val="auto"/>
                <w:highlight w:val="none"/>
              </w:rPr>
              <w:fldChar w:fldCharType="separate"/>
            </w:r>
            <w:r>
              <w:rPr>
                <w:rFonts w:hint="eastAsia" w:ascii="宋体" w:hAnsi="宋体"/>
                <w:color w:val="auto"/>
                <w:highlight w:val="none"/>
              </w:rPr>
              <w:t>www.creditchina.gov.cn</w:t>
            </w:r>
            <w:r>
              <w:rPr>
                <w:rFonts w:ascii="宋体" w:hAnsi="宋体"/>
                <w:color w:val="auto"/>
                <w:highlight w:val="none"/>
              </w:rPr>
              <w:fldChar w:fldCharType="end"/>
            </w:r>
            <w:r>
              <w:rPr>
                <w:rFonts w:hint="eastAsia" w:ascii="宋体" w:hAnsi="宋体"/>
                <w:color w:val="auto"/>
                <w:highlight w:val="none"/>
              </w:rPr>
              <w:t>)；“中国政府采购网”（http://www.ccgp.gov.cn/）；</w:t>
            </w:r>
          </w:p>
          <w:p>
            <w:pPr>
              <w:rPr>
                <w:rFonts w:ascii="宋体" w:hAnsi="宋体"/>
                <w:color w:val="auto"/>
                <w:highlight w:val="none"/>
              </w:rPr>
            </w:pPr>
            <w:r>
              <w:rPr>
                <w:rFonts w:hint="eastAsia" w:ascii="宋体" w:hAnsi="宋体"/>
                <w:color w:val="auto"/>
                <w:highlight w:val="none"/>
              </w:rPr>
              <w:t>2、投标供应商信用信息查询截止时点：本项目投标截止时间；</w:t>
            </w:r>
            <w:r>
              <w:rPr>
                <w:rFonts w:ascii="宋体" w:hAnsi="宋体"/>
                <w:color w:val="auto"/>
                <w:highlight w:val="none"/>
              </w:rPr>
              <w:t xml:space="preserve"> </w:t>
            </w:r>
          </w:p>
          <w:p>
            <w:pPr>
              <w:rPr>
                <w:rFonts w:ascii="宋体" w:hAnsi="宋体"/>
                <w:color w:val="auto"/>
                <w:highlight w:val="none"/>
              </w:rPr>
            </w:pPr>
            <w:r>
              <w:rPr>
                <w:rFonts w:hint="eastAsia" w:ascii="宋体" w:hAnsi="宋体"/>
                <w:color w:val="auto"/>
                <w:highlight w:val="none"/>
              </w:rPr>
              <w:t>3、投标供应商信用信息查询记录和证据留存的具体方式：网页截图打印；</w:t>
            </w:r>
          </w:p>
          <w:p>
            <w:pPr>
              <w:rPr>
                <w:rFonts w:hint="eastAsia" w:ascii="宋体" w:hAnsi="宋体" w:cs="宋体"/>
                <w:color w:val="auto"/>
                <w:highlight w:val="none"/>
              </w:rPr>
            </w:pPr>
            <w:r>
              <w:rPr>
                <w:rFonts w:hint="eastAsia" w:ascii="宋体" w:hAnsi="宋体"/>
                <w:color w:val="auto"/>
                <w:highlight w:val="none"/>
              </w:rPr>
              <w:t>4、信用信息的使用规则：截止评标当日，经查询“信用中国”“中国政府采购网”存在列入失信被执行人、重大税收违法案件当事人名单、政府采购严重违法失信行为记录名单及其他不符合《平阳县国有企业采购管理办法（试行）》第十二条规定条件的供应商，其投标做无效投标处理。</w:t>
            </w:r>
            <w:r>
              <w:rPr>
                <w:rFonts w:hint="eastAsia" w:ascii="宋体" w:hAnsi="宋体" w:cs="宋体"/>
                <w:color w:val="auto"/>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合同备案</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1、中标供应商须在中标通知书发出之日起30日内与采购人签订合同。</w:t>
            </w:r>
          </w:p>
          <w:p>
            <w:pPr>
              <w:rPr>
                <w:rFonts w:hint="eastAsia" w:ascii="宋体" w:hAnsi="宋体" w:cs="宋体"/>
                <w:color w:val="auto"/>
                <w:highlight w:val="none"/>
              </w:rPr>
            </w:pPr>
            <w:r>
              <w:rPr>
                <w:rFonts w:hint="eastAsia" w:ascii="宋体" w:hAnsi="宋体" w:cs="宋体"/>
                <w:color w:val="auto"/>
                <w:highlight w:val="none"/>
              </w:rPr>
              <w:t>2、中标供应商与采购人签订合同后，2日历天内将合同扫描件电子版发给浙江品信工程项目管理有限公司：邮箱：</w:t>
            </w:r>
            <w:r>
              <w:rPr>
                <w:rFonts w:ascii="宋体" w:hAnsi="宋体" w:cs="宋体"/>
                <w:color w:val="auto"/>
                <w:highlight w:val="none"/>
                <w:u w:val="single"/>
              </w:rPr>
              <w:fldChar w:fldCharType="begin"/>
            </w:r>
            <w:r>
              <w:rPr>
                <w:rFonts w:ascii="宋体" w:hAnsi="宋体" w:cs="宋体"/>
                <w:color w:val="auto"/>
                <w:highlight w:val="none"/>
                <w:u w:val="single"/>
              </w:rPr>
              <w:instrText xml:space="preserve"> HYPERLINK "mailto:</w:instrText>
            </w:r>
            <w:r>
              <w:rPr>
                <w:rFonts w:hint="eastAsia" w:ascii="宋体" w:hAnsi="宋体" w:cs="宋体"/>
                <w:color w:val="auto"/>
                <w:highlight w:val="none"/>
                <w:u w:val="single"/>
              </w:rPr>
              <w:instrText xml:space="preserve">3439026955@qq.com</w:instrText>
            </w:r>
            <w:r>
              <w:rPr>
                <w:rFonts w:ascii="宋体" w:hAnsi="宋体" w:cs="宋体"/>
                <w:color w:val="auto"/>
                <w:highlight w:val="none"/>
                <w:u w:val="single"/>
              </w:rPr>
              <w:instrText xml:space="preserve">" </w:instrText>
            </w:r>
            <w:r>
              <w:rPr>
                <w:rFonts w:ascii="宋体" w:hAnsi="宋体" w:cs="宋体"/>
                <w:color w:val="auto"/>
                <w:highlight w:val="none"/>
                <w:u w:val="single"/>
              </w:rPr>
              <w:fldChar w:fldCharType="separate"/>
            </w:r>
            <w:r>
              <w:rPr>
                <w:rStyle w:val="49"/>
                <w:rFonts w:hint="eastAsia" w:ascii="宋体" w:hAnsi="宋体" w:cs="宋体"/>
                <w:color w:val="auto"/>
                <w:highlight w:val="none"/>
              </w:rPr>
              <w:t>3439026955@qq.com</w:t>
            </w:r>
            <w:r>
              <w:rPr>
                <w:rFonts w:ascii="宋体" w:hAnsi="宋体" w:cs="宋体"/>
                <w:color w:val="auto"/>
                <w:highlight w:val="none"/>
                <w:u w:val="single"/>
              </w:rPr>
              <w:fldChar w:fldCharType="end"/>
            </w:r>
            <w:r>
              <w:rPr>
                <w:rFonts w:hint="eastAsia" w:ascii="宋体" w:hAnsi="宋体" w:cs="宋体"/>
                <w:color w:val="auto"/>
                <w:highlight w:val="none"/>
              </w:rPr>
              <w:t>；</w:t>
            </w:r>
          </w:p>
          <w:p>
            <w:pPr>
              <w:rPr>
                <w:rFonts w:hint="eastAsia" w:ascii="宋体" w:hAnsi="宋体" w:cs="宋体"/>
                <w:color w:val="auto"/>
                <w:highlight w:val="none"/>
              </w:rPr>
            </w:pPr>
            <w:r>
              <w:rPr>
                <w:rFonts w:hint="eastAsia" w:ascii="宋体" w:hAnsi="宋体" w:cs="宋体"/>
                <w:color w:val="auto"/>
                <w:highlight w:val="none"/>
              </w:rPr>
              <w:t>3、本项目政府采购合同按规定在浙江政府采购网（</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"http://www.zjzfcg.gov.cn" </w:instrText>
            </w:r>
            <w:r>
              <w:rPr>
                <w:rFonts w:hint="eastAsia" w:ascii="宋体" w:hAnsi="宋体" w:cs="宋体"/>
                <w:color w:val="auto"/>
                <w:highlight w:val="none"/>
              </w:rPr>
              <w:fldChar w:fldCharType="separate"/>
            </w:r>
            <w:r>
              <w:rPr>
                <w:rFonts w:hint="eastAsia" w:ascii="宋体" w:hAnsi="宋体" w:cs="宋体"/>
                <w:color w:val="auto"/>
                <w:highlight w:val="none"/>
              </w:rPr>
              <w:t>http://www.zjzfcg.gov.cn</w:t>
            </w:r>
            <w:r>
              <w:rPr>
                <w:rFonts w:hint="eastAsia" w:ascii="宋体" w:hAnsi="宋体" w:cs="宋体"/>
                <w:color w:val="auto"/>
                <w:highlight w:val="none"/>
              </w:rPr>
              <w:fldChar w:fldCharType="end"/>
            </w:r>
            <w:r>
              <w:rPr>
                <w:rFonts w:hint="eastAsia" w:ascii="宋体" w:hAnsi="宋体" w:cs="宋体"/>
                <w:color w:val="auto"/>
                <w:highlight w:val="none"/>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合同履约管理</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合同签订后，采购人依法加强对合同履约进行管理，并在</w:t>
            </w:r>
            <w:r>
              <w:rPr>
                <w:rFonts w:hint="eastAsia" w:ascii="宋体" w:hAnsi="宋体" w:cs="宋体"/>
                <w:color w:val="auto"/>
                <w:highlight w:val="none"/>
                <w:lang w:eastAsia="zh-CN"/>
              </w:rPr>
              <w:t>中标供应商</w:t>
            </w:r>
            <w:r>
              <w:rPr>
                <w:rFonts w:hint="eastAsia" w:ascii="宋体" w:hAnsi="宋体" w:cs="宋体"/>
                <w:color w:val="auto"/>
                <w:highlight w:val="none"/>
              </w:rPr>
              <w:t>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免则声明</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1、投标供应商自行承担投标过程中产生的费用。无论何种因素导致采购项目延期开标、废标（流标）、投标供应商未中标、项目终止采购的，采购人与代理机构均不承担供应商投标费用。</w:t>
            </w:r>
          </w:p>
          <w:p>
            <w:pPr>
              <w:rPr>
                <w:rFonts w:hint="eastAsia" w:ascii="宋体" w:hAnsi="宋体" w:cs="宋体"/>
                <w:color w:val="auto"/>
                <w:highlight w:val="none"/>
              </w:rPr>
            </w:pPr>
            <w:r>
              <w:rPr>
                <w:rFonts w:hint="eastAsia" w:ascii="宋体" w:hAnsi="宋体" w:cs="宋体"/>
                <w:color w:val="auto"/>
                <w:highlight w:val="none"/>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解释权</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质疑受理联系方式</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受理单位：浙江品信工程项目管理有限公司</w:t>
            </w:r>
          </w:p>
          <w:p>
            <w:pPr>
              <w:rPr>
                <w:rFonts w:hint="eastAsia" w:ascii="宋体" w:hAnsi="宋体" w:eastAsia="宋体" w:cs="宋体"/>
                <w:color w:val="auto"/>
                <w:highlight w:val="none"/>
                <w:lang w:eastAsia="zh-CN"/>
              </w:rPr>
            </w:pPr>
            <w:r>
              <w:rPr>
                <w:rFonts w:hint="eastAsia" w:ascii="宋体" w:hAnsi="宋体" w:cs="宋体"/>
                <w:color w:val="auto"/>
                <w:highlight w:val="none"/>
              </w:rPr>
              <w:t>受 理 人：</w:t>
            </w:r>
            <w:r>
              <w:rPr>
                <w:rFonts w:hint="eastAsia" w:ascii="宋体" w:hAnsi="宋体" w:cs="宋体"/>
                <w:color w:val="auto"/>
                <w:highlight w:val="none"/>
                <w:lang w:eastAsia="zh-CN"/>
              </w:rPr>
              <w:t>吴女士</w:t>
            </w:r>
          </w:p>
          <w:p>
            <w:pPr>
              <w:rPr>
                <w:rFonts w:hint="eastAsia" w:ascii="宋体" w:hAnsi="宋体" w:cs="宋体"/>
                <w:color w:val="auto"/>
                <w:highlight w:val="none"/>
              </w:rPr>
            </w:pPr>
            <w:r>
              <w:rPr>
                <w:rFonts w:hint="eastAsia" w:ascii="宋体" w:hAnsi="宋体" w:cs="宋体"/>
                <w:color w:val="auto"/>
                <w:highlight w:val="none"/>
              </w:rPr>
              <w:t>联系电话：0577-63682718、15669781333</w:t>
            </w:r>
          </w:p>
          <w:p>
            <w:pPr>
              <w:rPr>
                <w:rFonts w:hint="eastAsia" w:ascii="宋体" w:hAnsi="宋体" w:cs="宋体"/>
                <w:color w:val="auto"/>
                <w:highlight w:val="none"/>
              </w:rPr>
            </w:pPr>
            <w:r>
              <w:rPr>
                <w:rFonts w:hint="eastAsia" w:ascii="宋体" w:hAnsi="宋体" w:cs="宋体"/>
                <w:color w:val="auto"/>
                <w:highlight w:val="none"/>
              </w:rPr>
              <w:t>联系传真：0577-63682718</w:t>
            </w:r>
          </w:p>
          <w:p>
            <w:pPr>
              <w:rPr>
                <w:rFonts w:hint="eastAsia" w:ascii="宋体" w:hAnsi="宋体" w:eastAsia="宋体" w:cs="宋体"/>
                <w:color w:val="auto"/>
                <w:highlight w:val="none"/>
                <w:lang w:eastAsia="zh-CN"/>
              </w:rPr>
            </w:pPr>
            <w:r>
              <w:rPr>
                <w:rFonts w:hint="eastAsia" w:ascii="宋体" w:hAnsi="宋体" w:cs="宋体"/>
                <w:color w:val="auto"/>
                <w:highlight w:val="none"/>
              </w:rPr>
              <w:t>地址：</w:t>
            </w:r>
            <w:r>
              <w:rPr>
                <w:rFonts w:hint="eastAsia" w:ascii="宋体" w:hAnsi="宋体" w:cs="宋体"/>
                <w:color w:val="auto"/>
                <w:highlight w:val="none"/>
                <w:lang w:eastAsia="zh-CN"/>
              </w:rPr>
              <w:t>温州市平阳县鳌江镇玉莲村鞋业园区A区10幢新厂房二楼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snapToGrid w:val="0"/>
              <w:spacing w:line="320" w:lineRule="exact"/>
              <w:jc w:val="center"/>
              <w:rPr>
                <w:rFonts w:ascii="宋体" w:hAnsi="宋体" w:cs="宋体"/>
                <w:color w:val="auto"/>
                <w:highlight w:val="none"/>
              </w:rPr>
            </w:pPr>
            <w:r>
              <w:rPr>
                <w:rFonts w:hint="eastAsia"/>
                <w:color w:val="auto"/>
                <w:szCs w:val="22"/>
                <w:highlight w:val="none"/>
              </w:rPr>
              <w:t>投诉</w:t>
            </w:r>
          </w:p>
        </w:tc>
        <w:tc>
          <w:tcPr>
            <w:tcW w:w="7776" w:type="dxa"/>
            <w:noWrap w:val="0"/>
            <w:vAlign w:val="center"/>
          </w:tcPr>
          <w:p>
            <w:pPr>
              <w:snapToGrid w:val="0"/>
              <w:spacing w:line="320" w:lineRule="exact"/>
              <w:rPr>
                <w:rFonts w:hint="eastAsia"/>
                <w:color w:val="auto"/>
                <w:highlight w:val="none"/>
              </w:rPr>
            </w:pPr>
            <w:r>
              <w:rPr>
                <w:rFonts w:hint="eastAsia"/>
                <w:color w:val="auto"/>
                <w:highlight w:val="none"/>
              </w:rPr>
              <w:t>根据《平阳县国有企业采购供应商投诉处理办法》的规定，供应商认为采购文件、采购过程、中标和成交结果使自己的合法权益受到损害的，应当首先依法向采购人、采购代理机构提出质疑。对采购人、采购代理机构的质疑答复不满意，</w:t>
            </w:r>
            <w:r>
              <w:rPr>
                <w:rFonts w:hint="eastAsia" w:ascii="宋体" w:hAnsi="宋体"/>
                <w:color w:val="auto"/>
                <w:highlight w:val="none"/>
              </w:rPr>
              <w:t>或者采购人、采购代理机构未在规定期限内作出答复的，供应商可以在答复期满后15个工作</w:t>
            </w:r>
            <w:r>
              <w:rPr>
                <w:rFonts w:hint="eastAsia"/>
                <w:color w:val="auto"/>
                <w:highlight w:val="none"/>
              </w:rPr>
              <w:t>日内向县国资部门提起投诉。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24"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投诉受理联系方式</w:t>
            </w:r>
          </w:p>
        </w:tc>
        <w:tc>
          <w:tcPr>
            <w:tcW w:w="7776" w:type="dxa"/>
            <w:noWrap w:val="0"/>
            <w:vAlign w:val="center"/>
          </w:tcPr>
          <w:p>
            <w:pPr>
              <w:rPr>
                <w:rFonts w:hint="eastAsia" w:ascii="宋体" w:hAnsi="宋体" w:cs="宋体"/>
                <w:color w:val="auto"/>
                <w:highlight w:val="none"/>
              </w:rPr>
            </w:pPr>
            <w:r>
              <w:rPr>
                <w:rFonts w:hint="eastAsia" w:ascii="宋体" w:hAnsi="宋体" w:cs="宋体"/>
                <w:color w:val="auto"/>
                <w:highlight w:val="none"/>
              </w:rPr>
              <w:t>平阳县财政局国企组织科</w:t>
            </w:r>
          </w:p>
          <w:p>
            <w:pPr>
              <w:rPr>
                <w:rFonts w:ascii="宋体" w:hAnsi="宋体" w:cs="宋体"/>
                <w:color w:val="auto"/>
                <w:highlight w:val="none"/>
              </w:rPr>
            </w:pPr>
            <w:r>
              <w:rPr>
                <w:rFonts w:hint="eastAsia" w:ascii="宋体" w:hAnsi="宋体" w:cs="宋体"/>
                <w:color w:val="auto"/>
                <w:highlight w:val="none"/>
              </w:rPr>
              <w:t>联 系 人：蔡先生</w:t>
            </w:r>
          </w:p>
          <w:p>
            <w:pPr>
              <w:rPr>
                <w:rFonts w:ascii="宋体" w:hAnsi="宋体" w:cs="宋体"/>
                <w:color w:val="auto"/>
                <w:highlight w:val="none"/>
              </w:rPr>
            </w:pPr>
            <w:r>
              <w:rPr>
                <w:rFonts w:hint="eastAsia" w:ascii="宋体" w:hAnsi="宋体" w:cs="宋体"/>
                <w:color w:val="auto"/>
                <w:highlight w:val="none"/>
              </w:rPr>
              <w:t>监督投诉电话：0577-63886781</w:t>
            </w:r>
          </w:p>
          <w:p>
            <w:pPr>
              <w:rPr>
                <w:rFonts w:ascii="宋体" w:hAnsi="宋体" w:cs="宋体"/>
                <w:color w:val="auto"/>
                <w:highlight w:val="none"/>
              </w:rPr>
            </w:pPr>
            <w:r>
              <w:rPr>
                <w:rFonts w:hint="eastAsia" w:ascii="宋体" w:hAnsi="宋体" w:cs="宋体"/>
                <w:color w:val="auto"/>
                <w:highlight w:val="none"/>
              </w:rPr>
              <w:t>传    真：0577-63889821</w:t>
            </w:r>
          </w:p>
          <w:p>
            <w:pPr>
              <w:rPr>
                <w:rFonts w:hint="eastAsia" w:ascii="宋体" w:hAnsi="宋体" w:cs="宋体"/>
                <w:color w:val="auto"/>
                <w:highlight w:val="none"/>
              </w:rPr>
            </w:pPr>
            <w:r>
              <w:rPr>
                <w:rFonts w:hint="eastAsia" w:ascii="宋体" w:hAnsi="宋体" w:cs="宋体"/>
                <w:color w:val="auto"/>
                <w:highlight w:val="none"/>
              </w:rPr>
              <w:t>地    址：平阳县昆阳镇人民路平阳县财政局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numPr>
                <w:ilvl w:val="0"/>
                <w:numId w:val="8"/>
              </w:numPr>
              <w:tabs>
                <w:tab w:val="left" w:pos="420"/>
                <w:tab w:val="clear" w:pos="720"/>
              </w:tabs>
              <w:ind w:left="420" w:hanging="420"/>
              <w:jc w:val="right"/>
              <w:rPr>
                <w:rFonts w:hint="eastAsia" w:ascii="宋体" w:hAnsi="宋体" w:cs="宋体"/>
                <w:color w:val="auto"/>
                <w:highlight w:val="none"/>
              </w:rPr>
            </w:pPr>
          </w:p>
        </w:tc>
        <w:tc>
          <w:tcPr>
            <w:tcW w:w="1553" w:type="dxa"/>
            <w:noWrap w:val="0"/>
            <w:vAlign w:val="center"/>
          </w:tcPr>
          <w:p>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备注</w:t>
            </w:r>
          </w:p>
        </w:tc>
        <w:tc>
          <w:tcPr>
            <w:tcW w:w="7776" w:type="dxa"/>
            <w:noWrap w:val="0"/>
            <w:vAlign w:val="center"/>
          </w:tcPr>
          <w:p>
            <w:pPr>
              <w:rPr>
                <w:rFonts w:hint="eastAsia" w:ascii="宋体" w:hAnsi="宋体" w:eastAsia="宋体" w:cs="宋体"/>
                <w:color w:val="auto"/>
                <w:highlight w:val="none"/>
                <w:lang w:val="en-US" w:eastAsia="zh-CN"/>
              </w:rPr>
            </w:pPr>
            <w:r>
              <w:rPr>
                <w:rFonts w:hint="eastAsia"/>
                <w:color w:val="auto"/>
                <w:sz w:val="22"/>
                <w:szCs w:val="22"/>
                <w:highlight w:val="none"/>
              </w:rPr>
              <w:t>除招标文件明确规定外，各标项通用</w:t>
            </w:r>
          </w:p>
        </w:tc>
      </w:tr>
    </w:tbl>
    <w:p>
      <w:pPr>
        <w:jc w:val="center"/>
        <w:rPr>
          <w:rFonts w:hint="eastAsia" w:ascii="宋体" w:hAnsi="宋体" w:cs="宋体"/>
          <w:bCs/>
          <w:color w:val="auto"/>
          <w:highlight w:val="none"/>
        </w:rPr>
      </w:pPr>
      <w:r>
        <w:rPr>
          <w:rFonts w:hint="eastAsia" w:ascii="宋体" w:hAnsi="宋体" w:cs="宋体"/>
          <w:bCs/>
          <w:color w:val="auto"/>
          <w:szCs w:val="22"/>
          <w:highlight w:val="none"/>
        </w:rPr>
        <w:t xml:space="preserve">                                              </w:t>
      </w:r>
    </w:p>
    <w:p>
      <w:pPr>
        <w:rPr>
          <w:rFonts w:hint="eastAsia" w:ascii="宋体" w:hAnsi="宋体" w:cs="宋体"/>
          <w:bCs/>
          <w:color w:val="auto"/>
          <w:highlight w:val="none"/>
        </w:rPr>
      </w:pPr>
    </w:p>
    <w:p>
      <w:pPr>
        <w:autoSpaceDE w:val="0"/>
        <w:autoSpaceDN w:val="0"/>
        <w:spacing w:line="440" w:lineRule="atLeast"/>
        <w:jc w:val="center"/>
        <w:textAlignment w:val="bottom"/>
        <w:rPr>
          <w:rFonts w:hint="eastAsia" w:ascii="宋体" w:hAnsi="宋体" w:cs="宋体"/>
          <w:color w:val="auto"/>
          <w:sz w:val="36"/>
          <w:highlight w:val="none"/>
        </w:rPr>
      </w:pPr>
    </w:p>
    <w:p>
      <w:pPr>
        <w:autoSpaceDE w:val="0"/>
        <w:autoSpaceDN w:val="0"/>
        <w:spacing w:line="440" w:lineRule="atLeast"/>
        <w:jc w:val="center"/>
        <w:textAlignment w:val="bottom"/>
        <w:rPr>
          <w:rFonts w:hint="eastAsia" w:ascii="宋体" w:hAnsi="宋体" w:cs="宋体"/>
          <w:color w:val="auto"/>
          <w:sz w:val="36"/>
          <w:highlight w:val="none"/>
        </w:rPr>
      </w:pPr>
    </w:p>
    <w:p>
      <w:pPr>
        <w:autoSpaceDE w:val="0"/>
        <w:autoSpaceDN w:val="0"/>
        <w:spacing w:line="440" w:lineRule="atLeast"/>
        <w:jc w:val="center"/>
        <w:textAlignment w:val="bottom"/>
        <w:rPr>
          <w:rFonts w:hint="eastAsia" w:ascii="宋体" w:hAnsi="宋体" w:cs="宋体"/>
          <w:color w:val="auto"/>
          <w:sz w:val="36"/>
          <w:highlight w:val="none"/>
        </w:rPr>
      </w:pPr>
    </w:p>
    <w:p>
      <w:pPr>
        <w:autoSpaceDE w:val="0"/>
        <w:autoSpaceDN w:val="0"/>
        <w:spacing w:line="440" w:lineRule="atLeast"/>
        <w:jc w:val="center"/>
        <w:textAlignment w:val="bottom"/>
        <w:rPr>
          <w:rFonts w:hint="eastAsia" w:ascii="宋体" w:hAnsi="宋体" w:cs="宋体"/>
          <w:color w:val="auto"/>
          <w:sz w:val="36"/>
          <w:highlight w:val="none"/>
        </w:rPr>
      </w:pPr>
    </w:p>
    <w:p>
      <w:pPr>
        <w:pStyle w:val="21"/>
        <w:spacing w:before="120" w:after="120"/>
        <w:ind w:left="447" w:hanging="447"/>
        <w:rPr>
          <w:rFonts w:hint="eastAsia"/>
          <w:color w:val="auto"/>
          <w:highlight w:val="none"/>
        </w:rPr>
      </w:pPr>
    </w:p>
    <w:p>
      <w:pPr>
        <w:autoSpaceDE w:val="0"/>
        <w:autoSpaceDN w:val="0"/>
        <w:spacing w:line="440" w:lineRule="atLeast"/>
        <w:jc w:val="center"/>
        <w:textAlignment w:val="bottom"/>
        <w:rPr>
          <w:rFonts w:hint="eastAsia" w:ascii="宋体" w:hAnsi="宋体" w:cs="宋体"/>
          <w:color w:val="auto"/>
          <w:sz w:val="36"/>
          <w:highlight w:val="none"/>
        </w:rPr>
      </w:pPr>
      <w:r>
        <w:rPr>
          <w:rFonts w:hint="eastAsia" w:ascii="宋体" w:hAnsi="宋体" w:cs="宋体"/>
          <w:color w:val="auto"/>
          <w:sz w:val="36"/>
          <w:highlight w:val="none"/>
        </w:rPr>
        <w:t>招标文件目录</w:t>
      </w:r>
    </w:p>
    <w:p>
      <w:pPr>
        <w:autoSpaceDE w:val="0"/>
        <w:autoSpaceDN w:val="0"/>
        <w:snapToGrid w:val="0"/>
        <w:spacing w:line="400" w:lineRule="atLeast"/>
        <w:textAlignment w:val="bottom"/>
        <w:rPr>
          <w:rFonts w:hint="eastAsia" w:ascii="宋体" w:hAnsi="宋体" w:cs="宋体"/>
          <w:color w:val="auto"/>
          <w:sz w:val="28"/>
          <w:highlight w:val="none"/>
        </w:rPr>
      </w:pPr>
      <w:r>
        <w:rPr>
          <w:rFonts w:hint="eastAsia" w:ascii="宋体" w:hAnsi="宋体" w:cs="宋体"/>
          <w:color w:val="auto"/>
          <w:sz w:val="28"/>
          <w:highlight w:val="none"/>
        </w:rPr>
        <w:t xml:space="preserve"> </w:t>
      </w:r>
    </w:p>
    <w:p>
      <w:pPr>
        <w:autoSpaceDE w:val="0"/>
        <w:autoSpaceDN w:val="0"/>
        <w:spacing w:line="360" w:lineRule="auto"/>
        <w:ind w:firstLine="323" w:firstLineChars="147"/>
        <w:textAlignment w:val="bottom"/>
        <w:rPr>
          <w:rFonts w:hint="eastAsia" w:ascii="宋体" w:hAnsi="宋体" w:cs="宋体"/>
          <w:color w:val="auto"/>
          <w:sz w:val="36"/>
          <w:highlight w:val="none"/>
        </w:rPr>
      </w:pPr>
      <w:r>
        <w:rPr>
          <w:rFonts w:hint="eastAsia" w:ascii="宋体" w:hAnsi="宋体" w:cs="宋体"/>
          <w:color w:val="auto"/>
          <w:szCs w:val="22"/>
          <w:highlight w:val="none"/>
        </w:rPr>
        <w:t>第一部分、项目简介</w:t>
      </w:r>
    </w:p>
    <w:p>
      <w:pPr>
        <w:autoSpaceDE w:val="0"/>
        <w:autoSpaceDN w:val="0"/>
        <w:snapToGrid w:val="0"/>
        <w:spacing w:line="360" w:lineRule="auto"/>
        <w:textAlignment w:val="bottom"/>
        <w:rPr>
          <w:rFonts w:hint="eastAsia" w:ascii="宋体" w:hAnsi="宋体" w:cs="宋体"/>
          <w:color w:val="auto"/>
          <w:szCs w:val="22"/>
          <w:highlight w:val="none"/>
        </w:rPr>
      </w:pPr>
      <w:r>
        <w:rPr>
          <w:rFonts w:hint="eastAsia" w:ascii="宋体" w:hAnsi="宋体" w:cs="宋体"/>
          <w:color w:val="auto"/>
          <w:szCs w:val="22"/>
          <w:highlight w:val="none"/>
        </w:rPr>
        <w:t xml:space="preserve">   第二部分、采购内容及要求</w:t>
      </w:r>
    </w:p>
    <w:p>
      <w:pPr>
        <w:autoSpaceDE w:val="0"/>
        <w:autoSpaceDN w:val="0"/>
        <w:snapToGrid w:val="0"/>
        <w:spacing w:line="360" w:lineRule="auto"/>
        <w:textAlignment w:val="bottom"/>
        <w:rPr>
          <w:rFonts w:hint="eastAsia" w:ascii="宋体" w:hAnsi="宋体" w:cs="宋体"/>
          <w:color w:val="auto"/>
          <w:szCs w:val="22"/>
          <w:highlight w:val="none"/>
        </w:rPr>
      </w:pPr>
      <w:r>
        <w:rPr>
          <w:rFonts w:hint="eastAsia" w:ascii="宋体" w:hAnsi="宋体" w:cs="宋体"/>
          <w:color w:val="auto"/>
          <w:szCs w:val="22"/>
          <w:highlight w:val="none"/>
        </w:rPr>
        <w:t xml:space="preserve">   第三部分、供应商须知</w:t>
      </w:r>
    </w:p>
    <w:p>
      <w:pPr>
        <w:autoSpaceDE w:val="0"/>
        <w:autoSpaceDN w:val="0"/>
        <w:snapToGrid w:val="0"/>
        <w:spacing w:line="360" w:lineRule="auto"/>
        <w:textAlignment w:val="bottom"/>
        <w:rPr>
          <w:rFonts w:hint="eastAsia" w:ascii="宋体" w:hAnsi="宋体" w:cs="宋体"/>
          <w:color w:val="auto"/>
          <w:szCs w:val="22"/>
          <w:highlight w:val="none"/>
        </w:rPr>
      </w:pPr>
      <w:r>
        <w:rPr>
          <w:rFonts w:hint="eastAsia" w:ascii="宋体" w:hAnsi="宋体" w:cs="宋体"/>
          <w:color w:val="auto"/>
          <w:szCs w:val="22"/>
          <w:highlight w:val="none"/>
        </w:rPr>
        <w:t xml:space="preserve">             一、说明</w:t>
      </w:r>
    </w:p>
    <w:p>
      <w:pPr>
        <w:autoSpaceDE w:val="0"/>
        <w:autoSpaceDN w:val="0"/>
        <w:snapToGrid w:val="0"/>
        <w:spacing w:line="360" w:lineRule="auto"/>
        <w:ind w:firstLine="1419" w:firstLineChars="645"/>
        <w:textAlignment w:val="bottom"/>
        <w:rPr>
          <w:rFonts w:hint="eastAsia" w:ascii="宋体" w:hAnsi="宋体" w:cs="宋体"/>
          <w:color w:val="auto"/>
          <w:szCs w:val="22"/>
          <w:highlight w:val="none"/>
        </w:rPr>
      </w:pPr>
      <w:r>
        <w:rPr>
          <w:rFonts w:hint="eastAsia" w:ascii="宋体" w:hAnsi="宋体" w:cs="宋体"/>
          <w:color w:val="auto"/>
          <w:szCs w:val="22"/>
          <w:highlight w:val="none"/>
        </w:rPr>
        <w:t>二、供应商资格要求</w:t>
      </w:r>
    </w:p>
    <w:p>
      <w:pPr>
        <w:autoSpaceDE w:val="0"/>
        <w:autoSpaceDN w:val="0"/>
        <w:snapToGrid w:val="0"/>
        <w:spacing w:line="360" w:lineRule="auto"/>
        <w:textAlignment w:val="bottom"/>
        <w:rPr>
          <w:rFonts w:hint="eastAsia" w:ascii="宋体" w:hAnsi="宋体" w:cs="宋体"/>
          <w:color w:val="auto"/>
          <w:szCs w:val="22"/>
          <w:highlight w:val="none"/>
        </w:rPr>
      </w:pPr>
      <w:r>
        <w:rPr>
          <w:rFonts w:hint="eastAsia" w:ascii="宋体" w:hAnsi="宋体" w:cs="宋体"/>
          <w:color w:val="auto"/>
          <w:szCs w:val="22"/>
          <w:highlight w:val="none"/>
        </w:rPr>
        <w:t xml:space="preserve">             三、招标文件</w:t>
      </w:r>
    </w:p>
    <w:p>
      <w:pPr>
        <w:autoSpaceDE w:val="0"/>
        <w:autoSpaceDN w:val="0"/>
        <w:snapToGrid w:val="0"/>
        <w:spacing w:line="360" w:lineRule="auto"/>
        <w:textAlignment w:val="bottom"/>
        <w:rPr>
          <w:rFonts w:hint="eastAsia" w:ascii="宋体" w:hAnsi="宋体" w:cs="宋体"/>
          <w:color w:val="auto"/>
          <w:szCs w:val="22"/>
          <w:highlight w:val="none"/>
        </w:rPr>
      </w:pPr>
      <w:r>
        <w:rPr>
          <w:rFonts w:hint="eastAsia" w:ascii="宋体" w:hAnsi="宋体" w:cs="宋体"/>
          <w:color w:val="auto"/>
          <w:szCs w:val="22"/>
          <w:highlight w:val="none"/>
        </w:rPr>
        <w:t xml:space="preserve">             四、投标文件</w:t>
      </w:r>
    </w:p>
    <w:p>
      <w:pPr>
        <w:autoSpaceDE w:val="0"/>
        <w:autoSpaceDN w:val="0"/>
        <w:snapToGrid w:val="0"/>
        <w:spacing w:line="360" w:lineRule="auto"/>
        <w:textAlignment w:val="bottom"/>
        <w:rPr>
          <w:rFonts w:hint="eastAsia" w:ascii="宋体" w:hAnsi="宋体" w:cs="宋体"/>
          <w:color w:val="auto"/>
          <w:szCs w:val="22"/>
          <w:highlight w:val="none"/>
        </w:rPr>
      </w:pPr>
      <w:r>
        <w:rPr>
          <w:rFonts w:hint="eastAsia" w:ascii="宋体" w:hAnsi="宋体" w:cs="宋体"/>
          <w:color w:val="auto"/>
          <w:szCs w:val="22"/>
          <w:highlight w:val="none"/>
        </w:rPr>
        <w:t xml:space="preserve">             五、投标文件的密封和递交</w:t>
      </w:r>
    </w:p>
    <w:p>
      <w:pPr>
        <w:autoSpaceDE w:val="0"/>
        <w:autoSpaceDN w:val="0"/>
        <w:snapToGrid w:val="0"/>
        <w:spacing w:line="360" w:lineRule="auto"/>
        <w:textAlignment w:val="bottom"/>
        <w:rPr>
          <w:rFonts w:hint="eastAsia" w:ascii="宋体" w:hAnsi="宋体" w:cs="宋体"/>
          <w:color w:val="auto"/>
          <w:szCs w:val="22"/>
          <w:highlight w:val="none"/>
        </w:rPr>
      </w:pPr>
      <w:r>
        <w:rPr>
          <w:rFonts w:hint="eastAsia" w:ascii="宋体" w:hAnsi="宋体" w:cs="宋体"/>
          <w:color w:val="auto"/>
          <w:szCs w:val="22"/>
          <w:highlight w:val="none"/>
        </w:rPr>
        <w:t xml:space="preserve">             六、开标和评标</w:t>
      </w:r>
    </w:p>
    <w:p>
      <w:pPr>
        <w:autoSpaceDE w:val="0"/>
        <w:autoSpaceDN w:val="0"/>
        <w:snapToGrid w:val="0"/>
        <w:spacing w:line="360" w:lineRule="auto"/>
        <w:textAlignment w:val="bottom"/>
        <w:rPr>
          <w:rFonts w:hint="eastAsia" w:ascii="宋体" w:hAnsi="宋体" w:cs="宋体"/>
          <w:color w:val="auto"/>
          <w:szCs w:val="22"/>
          <w:highlight w:val="none"/>
        </w:rPr>
      </w:pPr>
      <w:r>
        <w:rPr>
          <w:rFonts w:hint="eastAsia" w:ascii="宋体" w:hAnsi="宋体" w:cs="宋体"/>
          <w:color w:val="auto"/>
          <w:szCs w:val="22"/>
          <w:highlight w:val="none"/>
        </w:rPr>
        <w:t xml:space="preserve">             七、授予合同</w:t>
      </w:r>
    </w:p>
    <w:p>
      <w:pPr>
        <w:autoSpaceDE w:val="0"/>
        <w:autoSpaceDN w:val="0"/>
        <w:snapToGrid w:val="0"/>
        <w:spacing w:line="360" w:lineRule="auto"/>
        <w:textAlignment w:val="bottom"/>
        <w:rPr>
          <w:rFonts w:hint="eastAsia" w:ascii="宋体" w:hAnsi="宋体" w:cs="宋体"/>
          <w:color w:val="auto"/>
          <w:szCs w:val="22"/>
          <w:highlight w:val="none"/>
        </w:rPr>
      </w:pPr>
      <w:r>
        <w:rPr>
          <w:rFonts w:hint="eastAsia" w:ascii="宋体" w:hAnsi="宋体" w:cs="宋体"/>
          <w:color w:val="auto"/>
          <w:szCs w:val="22"/>
          <w:highlight w:val="none"/>
        </w:rPr>
        <w:t xml:space="preserve">   第四部分、政府采购政策功能相关说明</w:t>
      </w:r>
    </w:p>
    <w:p>
      <w:pPr>
        <w:autoSpaceDE w:val="0"/>
        <w:autoSpaceDN w:val="0"/>
        <w:snapToGrid w:val="0"/>
        <w:spacing w:line="360" w:lineRule="auto"/>
        <w:textAlignment w:val="bottom"/>
        <w:rPr>
          <w:rFonts w:hint="eastAsia" w:ascii="宋体" w:hAnsi="宋体" w:cs="宋体"/>
          <w:color w:val="auto"/>
          <w:szCs w:val="22"/>
          <w:highlight w:val="none"/>
        </w:rPr>
      </w:pPr>
      <w:r>
        <w:rPr>
          <w:rFonts w:hint="eastAsia" w:ascii="宋体" w:hAnsi="宋体" w:cs="宋体"/>
          <w:color w:val="auto"/>
          <w:szCs w:val="22"/>
          <w:highlight w:val="none"/>
        </w:rPr>
        <w:t xml:space="preserve">   第五部分、合同格式</w:t>
      </w:r>
    </w:p>
    <w:p>
      <w:pPr>
        <w:autoSpaceDE w:val="0"/>
        <w:autoSpaceDN w:val="0"/>
        <w:snapToGrid w:val="0"/>
        <w:spacing w:line="360" w:lineRule="auto"/>
        <w:jc w:val="left"/>
        <w:textAlignment w:val="bottom"/>
        <w:rPr>
          <w:rFonts w:hint="eastAsia" w:ascii="宋体" w:hAnsi="宋体" w:cs="宋体"/>
          <w:color w:val="auto"/>
          <w:szCs w:val="22"/>
          <w:highlight w:val="none"/>
        </w:rPr>
      </w:pPr>
      <w:r>
        <w:rPr>
          <w:rFonts w:hint="eastAsia" w:ascii="宋体" w:hAnsi="宋体" w:cs="宋体"/>
          <w:color w:val="auto"/>
          <w:szCs w:val="22"/>
          <w:highlight w:val="none"/>
        </w:rPr>
        <w:t xml:space="preserve">   第六部分、附件：投标文件格式</w:t>
      </w:r>
    </w:p>
    <w:p>
      <w:pPr>
        <w:tabs>
          <w:tab w:val="left" w:pos="560"/>
        </w:tabs>
        <w:autoSpaceDE w:val="0"/>
        <w:autoSpaceDN w:val="0"/>
        <w:snapToGrid w:val="0"/>
        <w:spacing w:line="360" w:lineRule="auto"/>
        <w:textAlignment w:val="bottom"/>
        <w:rPr>
          <w:rFonts w:hint="eastAsia" w:ascii="宋体" w:hAnsi="宋体" w:cs="宋体"/>
          <w:color w:val="auto"/>
          <w:szCs w:val="22"/>
          <w:highlight w:val="none"/>
        </w:rPr>
      </w:pPr>
      <w:r>
        <w:rPr>
          <w:rFonts w:hint="eastAsia" w:ascii="宋体" w:hAnsi="宋体" w:cs="宋体"/>
          <w:color w:val="auto"/>
          <w:szCs w:val="22"/>
          <w:highlight w:val="none"/>
        </w:rPr>
        <w:t xml:space="preserve">   第七部分、评标办法</w:t>
      </w:r>
    </w:p>
    <w:p>
      <w:pPr>
        <w:rPr>
          <w:rFonts w:hint="eastAsia"/>
          <w:color w:val="auto"/>
          <w:highlight w:val="none"/>
        </w:rPr>
      </w:pPr>
      <w:r>
        <w:rPr>
          <w:rFonts w:hint="eastAsia"/>
          <w:color w:val="auto"/>
          <w:highlight w:val="none"/>
        </w:rPr>
        <w:t xml:space="preserve">       </w:t>
      </w:r>
    </w:p>
    <w:p>
      <w:pPr>
        <w:rPr>
          <w:rFonts w:hint="eastAsia"/>
          <w:color w:val="auto"/>
          <w:highlight w:val="none"/>
        </w:rPr>
      </w:pPr>
    </w:p>
    <w:p>
      <w:pPr>
        <w:rPr>
          <w:rFonts w:hint="eastAsia"/>
          <w:color w:val="auto"/>
          <w:highlight w:val="none"/>
        </w:rPr>
      </w:pPr>
    </w:p>
    <w:p>
      <w:pPr>
        <w:pStyle w:val="21"/>
        <w:spacing w:before="120" w:after="120"/>
        <w:ind w:left="447" w:hanging="447"/>
        <w:rPr>
          <w:rFonts w:hint="eastAsia"/>
          <w:color w:val="auto"/>
          <w:highlight w:val="none"/>
        </w:rPr>
      </w:pPr>
    </w:p>
    <w:p>
      <w:pPr>
        <w:pStyle w:val="38"/>
        <w:spacing w:before="0" w:after="0" w:line="420" w:lineRule="exact"/>
        <w:rPr>
          <w:rFonts w:hint="eastAsia" w:ascii="宋体" w:hAnsi="宋体" w:cs="宋体"/>
          <w:color w:val="auto"/>
          <w:highlight w:val="none"/>
          <w:lang w:val="zh-CN"/>
        </w:rPr>
      </w:pPr>
      <w:bookmarkStart w:id="0" w:name="_Toc157410886"/>
      <w:r>
        <w:rPr>
          <w:rFonts w:hint="eastAsia" w:ascii="宋体" w:hAnsi="宋体" w:cs="宋体"/>
          <w:color w:val="auto"/>
          <w:highlight w:val="none"/>
          <w:lang w:val="zh-CN"/>
        </w:rPr>
        <w:br w:type="page"/>
      </w:r>
      <w:r>
        <w:rPr>
          <w:rFonts w:hint="eastAsia" w:ascii="宋体" w:hAnsi="宋体" w:cs="宋体"/>
          <w:color w:val="auto"/>
          <w:highlight w:val="none"/>
          <w:lang w:val="zh-CN"/>
        </w:rPr>
        <w:t>第一部分     项目简介</w:t>
      </w:r>
    </w:p>
    <w:p>
      <w:pPr>
        <w:pStyle w:val="38"/>
        <w:spacing w:before="0" w:after="0" w:line="420" w:lineRule="exact"/>
        <w:jc w:val="both"/>
        <w:rPr>
          <w:rFonts w:hint="eastAsia" w:ascii="宋体" w:hAnsi="宋体" w:cs="宋体"/>
          <w:color w:val="auto"/>
          <w:sz w:val="22"/>
          <w:szCs w:val="22"/>
          <w:highlight w:val="none"/>
        </w:rPr>
      </w:pPr>
      <w:bookmarkStart w:id="1" w:name="_Toc300252050"/>
      <w:r>
        <w:rPr>
          <w:rFonts w:hint="eastAsia" w:ascii="宋体" w:hAnsi="宋体" w:cs="宋体"/>
          <w:color w:val="auto"/>
          <w:sz w:val="22"/>
          <w:szCs w:val="22"/>
          <w:highlight w:val="none"/>
        </w:rPr>
        <w:t>一、</w:t>
      </w:r>
      <w:bookmarkEnd w:id="1"/>
      <w:r>
        <w:rPr>
          <w:rFonts w:hint="eastAsia" w:ascii="宋体" w:hAnsi="宋体" w:cs="宋体"/>
          <w:color w:val="auto"/>
          <w:sz w:val="22"/>
          <w:szCs w:val="22"/>
          <w:highlight w:val="none"/>
        </w:rPr>
        <w:t>项目简介</w:t>
      </w:r>
    </w:p>
    <w:p>
      <w:pPr>
        <w:snapToGrid w:val="0"/>
        <w:spacing w:line="420" w:lineRule="exact"/>
        <w:rPr>
          <w:rFonts w:hint="eastAsia" w:ascii="宋体" w:hAnsi="宋体" w:cs="宋体"/>
          <w:color w:val="auto"/>
          <w:szCs w:val="22"/>
          <w:highlight w:val="none"/>
        </w:rPr>
      </w:pPr>
      <w:bookmarkStart w:id="2" w:name="_Toc300252051"/>
      <w:r>
        <w:rPr>
          <w:rFonts w:hint="eastAsia" w:ascii="宋体" w:hAnsi="宋体" w:cs="宋体"/>
          <w:color w:val="auto"/>
          <w:szCs w:val="22"/>
          <w:highlight w:val="none"/>
        </w:rPr>
        <w:t xml:space="preserve">    浙江品信工程项目管理有限公司受</w:t>
      </w:r>
      <w:r>
        <w:rPr>
          <w:rFonts w:hint="eastAsia" w:ascii="宋体" w:hAnsi="宋体" w:cs="宋体"/>
          <w:color w:val="auto"/>
          <w:szCs w:val="22"/>
          <w:highlight w:val="none"/>
          <w:lang w:eastAsia="zh-CN"/>
        </w:rPr>
        <w:t>温州长安集团有限公司</w:t>
      </w:r>
      <w:r>
        <w:rPr>
          <w:rFonts w:hint="eastAsia" w:ascii="宋体" w:hAnsi="宋体" w:cs="宋体"/>
          <w:bCs/>
          <w:color w:val="auto"/>
          <w:szCs w:val="22"/>
          <w:highlight w:val="none"/>
        </w:rPr>
        <w:t>委托，</w:t>
      </w:r>
      <w:r>
        <w:rPr>
          <w:rFonts w:hint="eastAsia" w:ascii="宋体" w:hAnsi="宋体" w:cs="宋体"/>
          <w:color w:val="auto"/>
          <w:szCs w:val="22"/>
          <w:highlight w:val="none"/>
        </w:rPr>
        <w:t>以公开招标方式采购</w:t>
      </w:r>
      <w:r>
        <w:rPr>
          <w:rFonts w:hint="eastAsia" w:ascii="宋体" w:hAnsi="宋体" w:cs="宋体"/>
          <w:color w:val="auto"/>
          <w:kern w:val="0"/>
          <w:szCs w:val="22"/>
          <w:highlight w:val="none"/>
          <w:lang w:eastAsia="zh-CN"/>
        </w:rPr>
        <w:t>2021年纯电动客车采购</w:t>
      </w:r>
      <w:r>
        <w:rPr>
          <w:rFonts w:hint="eastAsia" w:ascii="宋体" w:hAnsi="宋体" w:cs="宋体"/>
          <w:color w:val="auto"/>
          <w:szCs w:val="22"/>
          <w:highlight w:val="none"/>
        </w:rPr>
        <w:t>，本次招标资金已经落实。</w:t>
      </w:r>
    </w:p>
    <w:p>
      <w:pPr>
        <w:snapToGrid w:val="0"/>
        <w:spacing w:line="420" w:lineRule="exact"/>
        <w:rPr>
          <w:rFonts w:hint="eastAsia" w:ascii="宋体" w:hAnsi="宋体" w:cs="宋体"/>
          <w:color w:val="auto"/>
          <w:szCs w:val="22"/>
          <w:highlight w:val="none"/>
        </w:rPr>
      </w:pPr>
      <w:r>
        <w:rPr>
          <w:rFonts w:hint="eastAsia" w:ascii="宋体" w:hAnsi="宋体" w:cs="宋体"/>
          <w:color w:val="auto"/>
          <w:szCs w:val="22"/>
          <w:highlight w:val="none"/>
        </w:rPr>
        <w:t xml:space="preserve">     我们热忱欢迎有关公司（企业）前来进行投标。  </w:t>
      </w:r>
    </w:p>
    <w:p>
      <w:pPr>
        <w:snapToGrid w:val="0"/>
        <w:spacing w:line="420" w:lineRule="exact"/>
        <w:ind w:firstLine="541" w:firstLineChars="246"/>
        <w:rPr>
          <w:rFonts w:hint="eastAsia" w:ascii="宋体" w:hAnsi="宋体" w:cs="宋体"/>
          <w:color w:val="auto"/>
          <w:szCs w:val="22"/>
          <w:highlight w:val="none"/>
        </w:rPr>
      </w:pPr>
    </w:p>
    <w:bookmarkEnd w:id="2"/>
    <w:p>
      <w:pPr>
        <w:pStyle w:val="38"/>
        <w:numPr>
          <w:ilvl w:val="0"/>
          <w:numId w:val="9"/>
        </w:numPr>
        <w:spacing w:before="0" w:after="0" w:line="420" w:lineRule="exact"/>
        <w:rPr>
          <w:rFonts w:hint="eastAsia" w:ascii="宋体" w:hAnsi="宋体" w:cs="宋体"/>
          <w:color w:val="auto"/>
          <w:highlight w:val="none"/>
        </w:rPr>
      </w:pPr>
      <w:r>
        <w:rPr>
          <w:rFonts w:hint="eastAsia" w:ascii="宋体" w:hAnsi="宋体" w:cs="宋体"/>
          <w:color w:val="auto"/>
          <w:highlight w:val="none"/>
          <w:lang w:val="zh-CN"/>
        </w:rPr>
        <w:t>采购内容及要求</w:t>
      </w:r>
      <w:bookmarkStart w:id="3" w:name="_Toc327258815"/>
    </w:p>
    <w:p>
      <w:pPr>
        <w:autoSpaceDE w:val="0"/>
        <w:autoSpaceDN w:val="0"/>
        <w:adjustRightInd w:val="0"/>
        <w:snapToGrid w:val="0"/>
        <w:jc w:val="center"/>
        <w:rPr>
          <w:rFonts w:hint="eastAsia" w:ascii="宋体" w:hAnsi="宋体" w:cs="宋体"/>
          <w:b/>
          <w:color w:val="auto"/>
          <w:szCs w:val="22"/>
          <w:highlight w:val="none"/>
        </w:rPr>
      </w:pPr>
    </w:p>
    <w:bookmarkEnd w:id="3"/>
    <w:p>
      <w:pPr>
        <w:snapToGrid w:val="0"/>
        <w:spacing w:line="454" w:lineRule="atLeast"/>
        <w:rPr>
          <w:rFonts w:hint="eastAsia" w:ascii="宋体" w:hAnsi="宋体"/>
          <w:b/>
          <w:bCs/>
          <w:color w:val="auto"/>
          <w:szCs w:val="22"/>
          <w:highlight w:val="none"/>
        </w:rPr>
      </w:pPr>
      <w:r>
        <w:rPr>
          <w:rFonts w:hint="eastAsia" w:ascii="宋体" w:hAnsi="宋体"/>
          <w:b/>
          <w:bCs/>
          <w:color w:val="auto"/>
          <w:szCs w:val="22"/>
          <w:highlight w:val="none"/>
        </w:rPr>
        <w:t>一、采购总说明</w:t>
      </w:r>
    </w:p>
    <w:p>
      <w:pPr>
        <w:snapToGrid w:val="0"/>
        <w:spacing w:line="460" w:lineRule="exact"/>
        <w:ind w:firstLine="480"/>
        <w:rPr>
          <w:rFonts w:hint="eastAsia" w:ascii="宋体" w:hAnsi="宋体" w:cs="宋体"/>
          <w:color w:val="auto"/>
          <w:szCs w:val="22"/>
          <w:highlight w:val="none"/>
        </w:rPr>
      </w:pPr>
      <w:r>
        <w:rPr>
          <w:rFonts w:hint="eastAsia" w:ascii="宋体" w:hAnsi="宋体" w:cs="宋体"/>
          <w:color w:val="auto"/>
          <w:szCs w:val="22"/>
          <w:highlight w:val="none"/>
        </w:rPr>
        <w:t>1、本技术规范要求提出的是最低限度的基本技术要求，并未对所有技术细节作出规定，供应商应提供符合本技术要求和国家标准、行业标准的优质设备。</w:t>
      </w:r>
    </w:p>
    <w:p>
      <w:pPr>
        <w:snapToGrid w:val="0"/>
        <w:spacing w:line="460" w:lineRule="exact"/>
        <w:ind w:firstLine="480"/>
        <w:rPr>
          <w:rFonts w:hint="eastAsia" w:ascii="宋体" w:hAnsi="宋体" w:cs="宋体"/>
          <w:color w:val="auto"/>
          <w:szCs w:val="22"/>
          <w:highlight w:val="none"/>
        </w:rPr>
      </w:pPr>
      <w:r>
        <w:rPr>
          <w:rFonts w:hint="eastAsia" w:ascii="宋体" w:hAnsi="宋体" w:cs="宋体"/>
          <w:color w:val="auto"/>
          <w:szCs w:val="22"/>
          <w:highlight w:val="none"/>
        </w:rPr>
        <w:t>2、供应商设备与本技术要求不一致时，供应商应在投标文件中予以说明，并由评标委员会鉴定供应商设备能否达到要求。如供应商没有在投标文件中提出异议，则视为供应商提供的设备完全按照本招标文件要求。</w:t>
      </w:r>
    </w:p>
    <w:p>
      <w:pPr>
        <w:snapToGrid w:val="0"/>
        <w:spacing w:line="460" w:lineRule="exact"/>
        <w:ind w:firstLine="480"/>
        <w:rPr>
          <w:rFonts w:hint="eastAsia" w:ascii="宋体" w:hAnsi="宋体" w:cs="宋体"/>
          <w:color w:val="auto"/>
          <w:szCs w:val="22"/>
          <w:highlight w:val="none"/>
        </w:rPr>
      </w:pPr>
      <w:r>
        <w:rPr>
          <w:rFonts w:hint="eastAsia" w:ascii="宋体" w:hAnsi="宋体" w:cs="宋体"/>
          <w:color w:val="auto"/>
          <w:szCs w:val="22"/>
          <w:highlight w:val="none"/>
        </w:rPr>
        <w:t>3、技术要求及标准的执行</w:t>
      </w:r>
    </w:p>
    <w:p>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Cs w:val="22"/>
          <w:highlight w:val="none"/>
        </w:rPr>
      </w:pPr>
      <w:r>
        <w:rPr>
          <w:rFonts w:hint="eastAsia" w:ascii="宋体" w:hAnsi="宋体" w:cs="宋体"/>
          <w:color w:val="auto"/>
          <w:szCs w:val="22"/>
          <w:highlight w:val="none"/>
        </w:rPr>
        <w:t>供应商提供的设备应标明所执行的质量标准，若同一标准已颁发新标准，则按最新标准执行。若同一设备同时有几个标准（国际标准、国家标准、行业标准、企业标准等），则按最高层次的标准执行。</w:t>
      </w:r>
    </w:p>
    <w:bookmarkEnd w:id="0"/>
    <w:p>
      <w:pPr>
        <w:numPr>
          <w:ilvl w:val="0"/>
          <w:numId w:val="7"/>
        </w:numPr>
        <w:autoSpaceDE w:val="0"/>
        <w:autoSpaceDN w:val="0"/>
        <w:adjustRightInd w:val="0"/>
        <w:snapToGrid w:val="0"/>
        <w:spacing w:line="460" w:lineRule="exact"/>
        <w:ind w:left="0" w:leftChars="0" w:firstLine="0" w:firstLineChars="0"/>
        <w:rPr>
          <w:rFonts w:hint="eastAsia" w:ascii="宋体" w:hAnsi="宋体" w:cs="宋体"/>
          <w:b/>
          <w:bCs/>
          <w:color w:val="auto"/>
          <w:highlight w:val="none"/>
        </w:rPr>
      </w:pPr>
      <w:r>
        <w:rPr>
          <w:rFonts w:hint="eastAsia" w:ascii="宋体" w:hAnsi="宋体" w:cs="宋体"/>
          <w:b/>
          <w:bCs/>
          <w:color w:val="auto"/>
          <w:highlight w:val="none"/>
        </w:rPr>
        <w:t>采购内容及具体要求（</w:t>
      </w:r>
      <w:r>
        <w:rPr>
          <w:rFonts w:hint="eastAsia" w:ascii="宋体" w:hAnsi="宋体" w:cs="宋体"/>
          <w:b/>
          <w:bCs/>
          <w:color w:val="auto"/>
          <w:highlight w:val="none"/>
          <w:u w:val="single"/>
        </w:rPr>
        <w:t>以下所有参数是为了对拟货物的技术指标和功能要求更好的说明，欢迎其他能满足本项目技术需求且性能相当或优于的产品参加。产品性能是否相当或优于由评标委员会按少数服从多数原则认定。</w:t>
      </w:r>
      <w:r>
        <w:rPr>
          <w:rFonts w:hint="eastAsia" w:ascii="宋体" w:hAnsi="宋体" w:cs="宋体"/>
          <w:b/>
          <w:bCs/>
          <w:color w:val="auto"/>
          <w:highlight w:val="none"/>
        </w:rPr>
        <w:t>）</w:t>
      </w:r>
    </w:p>
    <w:p>
      <w:pPr>
        <w:jc w:val="left"/>
        <w:rPr>
          <w:rFonts w:hint="eastAsia" w:hAnsi="宋体"/>
          <w:b/>
          <w:color w:val="auto"/>
          <w:highlight w:val="none"/>
          <w:u w:val="none"/>
          <w:lang w:val="en-US" w:eastAsia="zh-CN"/>
        </w:rPr>
      </w:pPr>
      <w:r>
        <w:rPr>
          <w:rFonts w:hint="eastAsia" w:hAnsi="宋体"/>
          <w:b/>
          <w:color w:val="auto"/>
          <w:highlight w:val="none"/>
          <w:u w:val="none"/>
          <w:lang w:val="en-US" w:eastAsia="zh-CN"/>
        </w:rPr>
        <w:t>标项一参数：</w:t>
      </w:r>
    </w:p>
    <w:tbl>
      <w:tblPr>
        <w:tblStyle w:val="42"/>
        <w:tblW w:w="10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447"/>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内容/部件</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4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4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保车辆为前二轮后二轮车型，保证车辆符合公交车辆上牌条件，保证车辆上牌前满足国家新能源相关政策要求具有国家产品公告、免税购置目录。如投标人交付车辆与以上公告、目录不符，造成不能正常上牌，一切损失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客车设计</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采用四轮微公交造型，车身设置导水槽。</w:t>
            </w:r>
            <w:r>
              <w:rPr>
                <w:rFonts w:hint="eastAsia" w:ascii="宋体" w:hAnsi="宋体" w:eastAsia="宋体" w:cs="宋体"/>
                <w:color w:val="auto"/>
                <w:sz w:val="24"/>
                <w:szCs w:val="24"/>
                <w:highlight w:val="none"/>
              </w:rPr>
              <w:t>车体造型设计新颖美观，体现节能环保、经济实用、安全舒适、维护简便；达到结构布置合理、乘坐舒适、驾驶灵活稳定、工艺质量可靠等要求；特别是在电驱动控制和技术匹配、防漏电安全防护、降噪处理、车内人性化设计、结构和工艺等方面具有专长特色</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车身造型要求美观大方，整车材料符合相关标准和节能环保要求</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采用新技术、新工艺、新材料，结构布置合理，工艺质量可靠，技术性能和结构工艺体现国内先进水平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噪音限值</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噪音限值符合或优于国家标准，提供有关检测报告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电磁辐射</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电磁辐射符合国家标准，提供有关检测报告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基本参数</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基本参数和技术性能必须符合电动客车国家和行业的有关标准要求，与公告目录一致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★车身尺寸</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5.9米＜长度＜6米，宽度≤2.15米。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座位数</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荷载人数</w:t>
            </w:r>
            <w:r>
              <w:rPr>
                <w:rFonts w:hint="eastAsia" w:ascii="宋体" w:hAnsi="宋体" w:eastAsia="宋体" w:cs="宋体"/>
                <w:color w:val="auto"/>
                <w:sz w:val="24"/>
                <w:szCs w:val="24"/>
                <w:highlight w:val="none"/>
                <w:lang w:val="en-US" w:eastAsia="zh-CN"/>
              </w:rPr>
              <w:t>19/10-13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0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驱动形式</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永磁同步电机驱动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p>
        </w:tc>
        <w:tc>
          <w:tcPr>
            <w:tcW w:w="144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动力电池组</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动力电池组</w:t>
            </w:r>
            <w:r>
              <w:rPr>
                <w:rFonts w:hint="eastAsia" w:ascii="宋体" w:hAnsi="宋体" w:cs="宋体"/>
                <w:color w:val="auto"/>
                <w:sz w:val="24"/>
                <w:szCs w:val="24"/>
                <w:highlight w:val="none"/>
                <w:lang w:val="en-US" w:eastAsia="zh-CN"/>
              </w:rPr>
              <w:t>优选高质量产品</w:t>
            </w:r>
            <w:r>
              <w:rPr>
                <w:rFonts w:hint="eastAsia" w:ascii="宋体" w:hAnsi="宋体" w:cs="宋体"/>
                <w:strike w:val="0"/>
                <w:dstrike w:val="0"/>
                <w:color w:val="auto"/>
                <w:sz w:val="24"/>
                <w:szCs w:val="24"/>
                <w:highlight w:val="none"/>
                <w:lang w:eastAsia="zh-CN"/>
              </w:rPr>
              <w:t>，</w:t>
            </w:r>
            <w:r>
              <w:rPr>
                <w:rFonts w:hint="eastAsia" w:ascii="宋体" w:hAnsi="宋体" w:eastAsia="宋体" w:cs="宋体"/>
                <w:strike w:val="0"/>
                <w:color w:val="auto"/>
                <w:sz w:val="24"/>
                <w:szCs w:val="24"/>
                <w:highlight w:val="none"/>
              </w:rPr>
              <w:t>水</w:t>
            </w:r>
            <w:r>
              <w:rPr>
                <w:rFonts w:hint="eastAsia" w:ascii="宋体" w:hAnsi="宋体" w:eastAsia="宋体" w:cs="宋体"/>
                <w:color w:val="auto"/>
                <w:sz w:val="24"/>
                <w:szCs w:val="24"/>
                <w:highlight w:val="none"/>
              </w:rPr>
              <w:t>冷磷酸铁锂动力电池，电池品牌与电芯</w:t>
            </w:r>
            <w:r>
              <w:rPr>
                <w:rFonts w:hint="eastAsia" w:ascii="宋体" w:hAnsi="宋体" w:cs="宋体"/>
                <w:color w:val="auto"/>
                <w:sz w:val="24"/>
                <w:szCs w:val="24"/>
                <w:highlight w:val="none"/>
                <w:lang w:val="en-US" w:eastAsia="zh-CN"/>
              </w:rPr>
              <w:t>需兼容</w:t>
            </w:r>
            <w:r>
              <w:rPr>
                <w:rFonts w:hint="eastAsia" w:ascii="宋体" w:hAnsi="宋体" w:eastAsia="宋体" w:cs="宋体"/>
                <w:color w:val="auto"/>
                <w:sz w:val="24"/>
                <w:szCs w:val="24"/>
                <w:highlight w:val="none"/>
                <w:lang w:val="zh-CN" w:eastAsia="zh-CN"/>
              </w:rPr>
              <w:t>，水冷散热</w:t>
            </w:r>
            <w:r>
              <w:rPr>
                <w:rFonts w:hint="eastAsia" w:ascii="宋体" w:hAnsi="宋体" w:eastAsia="宋体" w:cs="宋体"/>
                <w:color w:val="auto"/>
                <w:sz w:val="24"/>
                <w:szCs w:val="24"/>
                <w:highlight w:val="none"/>
                <w:lang w:val="zh-CN"/>
              </w:rPr>
              <w:t>。单车动力电池储能容量≥8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kw/h,电池系统能量密度≥1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Wh/kg,满足满载状态单次充满电续</w:t>
            </w:r>
            <w:r>
              <w:rPr>
                <w:rFonts w:hint="eastAsia" w:ascii="宋体" w:hAnsi="宋体" w:eastAsia="宋体" w:cs="宋体"/>
                <w:color w:val="auto"/>
                <w:sz w:val="24"/>
                <w:szCs w:val="24"/>
                <w:highlight w:val="none"/>
              </w:rPr>
              <w:t>驶里程≥180KM。电池组衰减达20%及以上的，免费更换。厂家投标前应对实际公交线路进行现场踏勘与评估，如不能满足要求，厂家负责召回及全部赔偿责任。投标人需提供国家权威检测机构的正规检测报告。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充电形式：慢充快补。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电池箱经多项破坏性试验达到国标要求，电池箱具有过流、过压、欠压、短路自动保护报警装置，电池管理系统报警给整车控制器，由整车控制器自动切断供电；电池箱防护等级IP6</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及以上，安装位置满足涉水深度要求。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电池管理系统，可监控每个单体的电压、模组的温度、电池系统电流、电量，电池管理系统能对电池的温度、电压、电量、电流、绝缘性能等项目异常报警，电池系统自带远程安全监测系统，满足GB/T31467.3-2015安全标准，并提供国家认可的第三方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芯体系选用水冷磷酸铁锂动力电池，最大充电电流具备不小于1C的持续充电至80%SOC能力。整车最低SOC需能达到20%；每组配有熔断器，发生意外情况可及时切断电池连接，动力电池安装在车辆的底部，不准占用车厢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p>
        </w:tc>
        <w:tc>
          <w:tcPr>
            <w:tcW w:w="144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★驱动电机</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永磁同步水冷驱动电机防护等级IP67级，额定功率符合车辆运行技术要求，绝缘等级H级，动力强劲平稳。驱动电机额定功率≧50KW、峰值功率≧90KW、峰值扭矩≧300N。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制动时具有制动能量回收和电磁缓速功能，当电磁缓速失效时具备提示功能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控制器</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采用厂家自主研发成熟</w:t>
            </w:r>
            <w:r>
              <w:rPr>
                <w:rFonts w:hint="eastAsia" w:ascii="宋体" w:hAnsi="宋体" w:eastAsia="宋体" w:cs="宋体"/>
                <w:color w:val="auto"/>
                <w:sz w:val="24"/>
                <w:szCs w:val="24"/>
                <w:highlight w:val="none"/>
              </w:rPr>
              <w:t>整车</w:t>
            </w:r>
            <w:r>
              <w:rPr>
                <w:rFonts w:hint="eastAsia" w:ascii="宋体" w:hAnsi="宋体" w:eastAsia="宋体" w:cs="宋体"/>
                <w:color w:val="auto"/>
                <w:sz w:val="24"/>
                <w:szCs w:val="24"/>
                <w:highlight w:val="none"/>
                <w:lang w:val="zh-CN"/>
              </w:rPr>
              <w:t>集成</w:t>
            </w:r>
            <w:r>
              <w:rPr>
                <w:rFonts w:hint="eastAsia" w:ascii="宋体" w:hAnsi="宋体" w:eastAsia="宋体" w:cs="宋体"/>
                <w:color w:val="auto"/>
                <w:sz w:val="24"/>
                <w:szCs w:val="24"/>
                <w:highlight w:val="none"/>
              </w:rPr>
              <w:t>控制器，安装位置紧凑，线路走向清晰，布局合理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防护等级IP6</w:t>
            </w:r>
            <w:r>
              <w:rPr>
                <w:rFonts w:hint="eastAsia" w:ascii="宋体" w:hAnsi="宋体" w:eastAsia="宋体" w:cs="宋体"/>
                <w:color w:val="auto"/>
                <w:sz w:val="24"/>
                <w:szCs w:val="24"/>
                <w:highlight w:val="none"/>
                <w:lang w:val="en-US" w:eastAsia="zh-CN"/>
              </w:rPr>
              <w:t>7（提供第三方检测报告）。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远程运营监控平台</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具备远程运营监控管理功能，实现车辆实时位置、故障、能耗监控查询，故障信息可通过电脑远程显示；厂家提供授权并承担相应费用，保证招标人能正常使用远程运营监控管理功能。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电度表</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电池BMS已集成有记录电耗功能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49"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w:t>
            </w:r>
          </w:p>
        </w:tc>
        <w:tc>
          <w:tcPr>
            <w:tcW w:w="144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★动力电池舱及电器设备舱</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电池舱壁使用气凝胶防火材料（提供实车照片和国家相关部门的检测报告为准），电池舱布局合理，安装位置满足涉水深度要求，检修方便，</w:t>
            </w:r>
            <w:r>
              <w:rPr>
                <w:rFonts w:hint="eastAsia" w:ascii="宋体" w:hAnsi="宋体" w:eastAsia="宋体" w:cs="宋体"/>
                <w:color w:val="auto"/>
                <w:sz w:val="24"/>
                <w:szCs w:val="24"/>
                <w:highlight w:val="none"/>
                <w:lang w:eastAsia="zh-CN"/>
              </w:rPr>
              <w:t>安装</w:t>
            </w:r>
            <w:r>
              <w:rPr>
                <w:rFonts w:hint="eastAsia" w:ascii="宋体" w:hAnsi="宋体" w:eastAsia="宋体" w:cs="宋体"/>
                <w:color w:val="auto"/>
                <w:sz w:val="24"/>
                <w:szCs w:val="24"/>
                <w:highlight w:val="none"/>
              </w:rPr>
              <w:t>锂电池舱专用灭火装置，</w:t>
            </w:r>
            <w:r>
              <w:rPr>
                <w:rFonts w:hint="eastAsia" w:ascii="宋体" w:hAnsi="宋体" w:eastAsia="宋体" w:cs="宋体"/>
                <w:color w:val="auto"/>
                <w:sz w:val="24"/>
                <w:szCs w:val="24"/>
                <w:highlight w:val="none"/>
                <w:lang w:eastAsia="zh-CN"/>
              </w:rPr>
              <w:t>质保</w:t>
            </w:r>
            <w:r>
              <w:rPr>
                <w:rFonts w:hint="eastAsia" w:ascii="宋体" w:hAnsi="宋体" w:eastAsia="宋体" w:cs="宋体"/>
                <w:color w:val="auto"/>
                <w:sz w:val="24"/>
                <w:szCs w:val="24"/>
                <w:highlight w:val="none"/>
                <w:lang w:val="en-US" w:eastAsia="zh-CN"/>
              </w:rPr>
              <w:t>8年，质保期内无偿定期检测确保有效，如</w:t>
            </w:r>
            <w:r>
              <w:rPr>
                <w:rFonts w:hint="eastAsia" w:ascii="宋体" w:hAnsi="宋体" w:eastAsia="宋体" w:cs="宋体"/>
                <w:color w:val="auto"/>
                <w:sz w:val="24"/>
                <w:szCs w:val="24"/>
                <w:highlight w:val="none"/>
              </w:rPr>
              <w:t>因装用不合格的锂电池舱专用灭火装置引起的各种损失及责任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由中标车厂承担。加装良好的隔热、隔振、降噪音材料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安全性达到JT/T1240-2019标准,动力电池具有防碰撞保护装置，确保电池舱发生碰撞后，不会引起车辆起火燃烧或爆炸，不会对人身造成伤害，否则中标方应承担全部的经济和法律责任</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车辆电器后舱布局合理，安装位置满足涉水深度要求，检修方便，需配自动灭火装置，后舱车厢底板应加装良好的隔热、隔振、降噪音、阻燃材料，通风良好，有利于散热。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充电接口</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采用国标直流枪充电插口，</w:t>
            </w:r>
            <w:r>
              <w:rPr>
                <w:rFonts w:hint="eastAsia" w:ascii="宋体" w:hAnsi="宋体" w:eastAsia="宋体" w:cs="宋体"/>
                <w:color w:val="auto"/>
                <w:sz w:val="24"/>
                <w:szCs w:val="24"/>
                <w:highlight w:val="none"/>
                <w:lang w:eastAsia="zh-CN"/>
              </w:rPr>
              <w:t>并与招标方已有充电桩相配套。</w:t>
            </w:r>
            <w:r>
              <w:rPr>
                <w:rFonts w:hint="eastAsia" w:ascii="宋体" w:hAnsi="宋体" w:eastAsia="宋体" w:cs="宋体"/>
                <w:color w:val="auto"/>
                <w:sz w:val="24"/>
                <w:szCs w:val="24"/>
                <w:highlight w:val="none"/>
              </w:rPr>
              <w:t>充电插口设置车身后部，无需钥匙开启，安装位置防尘、防水，高度在1200MM左右，系统设计为充电枪未拔出前车辆不能起步，同时具备拔枪时灭弧功能。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充放电多重安全监测报警保护，杜绝过充过放，发生意外情况主动切断高压。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★冷却系统</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安装ATS智能温控冷却系统，膨胀水箱位置安装合理，加液方便；冷却液散热器、循环水泵安装具备防尘防泥水的独立仓室，冷却液循环电机采用大流量、低转速、低噪音温控变速电机；冷却液散热器采用吸气散热，风机转速由温控系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00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底盘系统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★底盘结构</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封闭环式车身，整个车身参与载荷，上下部结构形成一体，在承受载荷时，整个车身壳体达到稳定平衡状态。车底骨架焊接处应有两次防腐处理，下表面应防石击涂漆处理</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★转向电动阻力泵</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电动转向油泵，</w:t>
            </w:r>
            <w:r>
              <w:rPr>
                <w:rFonts w:hint="eastAsia" w:ascii="宋体" w:hAnsi="宋体" w:eastAsia="宋体" w:cs="宋体"/>
                <w:color w:val="auto"/>
                <w:sz w:val="24"/>
                <w:szCs w:val="24"/>
                <w:highlight w:val="none"/>
                <w:lang w:val="zh-CN"/>
              </w:rPr>
              <w:t>可根据车辆行驶技术要求自动调节油压，</w:t>
            </w:r>
            <w:r>
              <w:rPr>
                <w:rFonts w:hint="eastAsia" w:ascii="宋体" w:hAnsi="宋体" w:eastAsia="宋体" w:cs="宋体"/>
                <w:color w:val="auto"/>
                <w:sz w:val="24"/>
                <w:szCs w:val="24"/>
                <w:highlight w:val="none"/>
              </w:rPr>
              <w:t>液压助力泵</w:t>
            </w:r>
            <w:r>
              <w:rPr>
                <w:rFonts w:hint="eastAsia" w:ascii="宋体" w:hAnsi="宋体" w:eastAsia="宋体" w:cs="宋体"/>
                <w:color w:val="auto"/>
                <w:sz w:val="24"/>
                <w:szCs w:val="24"/>
                <w:highlight w:val="none"/>
                <w:lang w:val="zh-CN"/>
              </w:rPr>
              <w:t>电机根据车辆运行工况具备高低压转速可变，车速</w:t>
            </w:r>
            <w:r>
              <w:rPr>
                <w:rFonts w:hint="eastAsia" w:ascii="宋体" w:hAnsi="宋体" w:eastAsia="宋体" w:cs="宋体"/>
                <w:color w:val="auto"/>
                <w:sz w:val="24"/>
                <w:szCs w:val="24"/>
                <w:highlight w:val="none"/>
              </w:rPr>
              <w:t>≤3公里/小时</w:t>
            </w:r>
            <w:r>
              <w:rPr>
                <w:rFonts w:hint="eastAsia" w:ascii="宋体" w:hAnsi="宋体" w:eastAsia="宋体" w:cs="宋体"/>
                <w:color w:val="auto"/>
                <w:sz w:val="24"/>
                <w:szCs w:val="24"/>
                <w:highlight w:val="none"/>
                <w:lang w:val="zh-CN"/>
              </w:rPr>
              <w:t>电动助力泵</w:t>
            </w:r>
            <w:r>
              <w:rPr>
                <w:rFonts w:hint="eastAsia" w:ascii="宋体" w:hAnsi="宋体" w:eastAsia="宋体" w:cs="宋体"/>
                <w:color w:val="auto"/>
                <w:sz w:val="24"/>
                <w:szCs w:val="24"/>
                <w:highlight w:val="none"/>
              </w:rPr>
              <w:t>无噪音、</w:t>
            </w:r>
            <w:r>
              <w:rPr>
                <w:rFonts w:hint="eastAsia" w:ascii="宋体" w:hAnsi="宋体" w:eastAsia="宋体" w:cs="宋体"/>
                <w:color w:val="auto"/>
                <w:sz w:val="24"/>
                <w:szCs w:val="24"/>
                <w:highlight w:val="none"/>
                <w:lang w:val="zh-CN"/>
              </w:rPr>
              <w:t>无振动功能，</w:t>
            </w:r>
            <w:r>
              <w:rPr>
                <w:rFonts w:hint="eastAsia" w:ascii="宋体" w:hAnsi="宋体" w:eastAsia="宋体" w:cs="宋体"/>
                <w:color w:val="auto"/>
                <w:sz w:val="24"/>
                <w:szCs w:val="24"/>
                <w:highlight w:val="none"/>
              </w:rPr>
              <w:t>电机位置满足涉水深度要求，电机防护等级【IP65】及以上。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▲转向器</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采用厂家成熟电动</w:t>
            </w:r>
            <w:r>
              <w:rPr>
                <w:rFonts w:hint="eastAsia" w:ascii="宋体" w:hAnsi="宋体" w:eastAsia="宋体" w:cs="宋体"/>
                <w:color w:val="auto"/>
                <w:sz w:val="24"/>
                <w:szCs w:val="24"/>
                <w:highlight w:val="none"/>
              </w:rPr>
              <w:t>液压助力转向器，如遇液压助力</w:t>
            </w:r>
            <w:r>
              <w:rPr>
                <w:rFonts w:hint="eastAsia" w:ascii="宋体" w:hAnsi="宋体" w:eastAsia="宋体" w:cs="宋体"/>
                <w:color w:val="auto"/>
                <w:sz w:val="24"/>
                <w:szCs w:val="24"/>
                <w:highlight w:val="none"/>
                <w:lang w:val="zh-CN"/>
              </w:rPr>
              <w:t>失效时转向正常，</w:t>
            </w:r>
            <w:r>
              <w:rPr>
                <w:rFonts w:hint="eastAsia" w:ascii="宋体" w:hAnsi="宋体" w:eastAsia="宋体" w:cs="宋体"/>
                <w:color w:val="auto"/>
                <w:sz w:val="24"/>
                <w:szCs w:val="24"/>
                <w:highlight w:val="none"/>
              </w:rPr>
              <w:t>方向盘前后上下可调</w:t>
            </w:r>
            <w:r>
              <w:rPr>
                <w:rFonts w:hint="eastAsia" w:ascii="宋体" w:hAnsi="宋体" w:eastAsia="宋体" w:cs="宋体"/>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传动轴</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最大承载扭矩必须满足城市公交运营线路实际超载运行的特殊要求。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★前后桥</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前后桥优选主流高端车桥、差速器采用纯电公交车专用差速器，主锥加强、精磨齿、低噪音，符合公交客车使用要求。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悬架系统</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少片弹簧，弹簧片之间装配耐磨橡胶降噪片，布置合理，减震器配装双向作用固定螺母纵向锁紧，设有稳定杆平衡机构。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★制动系统</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采用液压双回路行车制动、制动时具备电动缓速、能量回收功能。（气刹打气泵采用活塞式）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制动间隙自动调整，配备ABS防抱死功能，</w:t>
            </w:r>
            <w:r>
              <w:rPr>
                <w:rFonts w:hint="eastAsia" w:ascii="宋体" w:hAnsi="宋体" w:cs="宋体"/>
                <w:color w:val="auto"/>
                <w:sz w:val="24"/>
                <w:szCs w:val="24"/>
                <w:highlight w:val="none"/>
                <w:lang w:val="en-US" w:eastAsia="zh-CN"/>
              </w:rPr>
              <w:t>优选高质量产品</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制动管路系统按标准进行保压泄漏试验，管路排列整齐，固定支架牢固(固定间距不大于600mm)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管路与高温、旋转部件保持安全距离或作重点防护，穿越洞孔、电池仓等隐蔽部位，加装阻燃绝缘套管缝隙填充减震胶可靠固定（用图说明），电线束和油气水管分列敷设布置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起步制动保护，设声光报警，报警蜂鸣声与其它报警声响有明显区分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制动系统采用双真空助力器，四回路保护阀优选高端产品，提高刹车可靠性。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制动踏板与水平面的夹角不能过大，符合人机工程要求，便于驾驶员操作及维修方便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驻车制动</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作用于后轮，手制动装置在驾驶员易操作的部位。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自锁螺母</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振动部位采用施必牢自锁螺母紧固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集中供油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润滑系统</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ECU微电脑程序控制，液晶动态显示，具备智能故障诊断显示功能，适用润滑点数量≤60，底盘中央集中润滑系统要求符合QC/T 696-2011《汽车底盘集中润滑供油系统》。符合国家或相关行业标准，产品质保8年；车辆制造厂家或配套厂家承诺，并附承诺书；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5.1</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★轮胎及轮辋</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采用：</w:t>
            </w:r>
            <w:r>
              <w:rPr>
                <w:rFonts w:hint="eastAsia" w:ascii="宋体" w:hAnsi="宋体" w:cs="宋体"/>
                <w:color w:val="auto"/>
                <w:sz w:val="24"/>
                <w:szCs w:val="24"/>
                <w:highlight w:val="none"/>
                <w:lang w:val="en-US" w:eastAsia="zh-CN"/>
              </w:rPr>
              <w:t>优选高质量子午线真空胎或按厂家标配的国内一线子午线真空胎</w:t>
            </w:r>
            <w:r>
              <w:rPr>
                <w:rFonts w:hint="eastAsia" w:ascii="宋体" w:hAnsi="宋体" w:eastAsia="宋体" w:cs="宋体"/>
                <w:color w:val="auto"/>
                <w:sz w:val="24"/>
                <w:szCs w:val="24"/>
                <w:highlight w:val="none"/>
              </w:rPr>
              <w:t>；锻造铝合金轮辋</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带国产或进口优质胎压检测系统或胎压报警装置，并能通过仪表台向驾驶员显示相关信息，每辆客车配带同类规格型号</w:t>
            </w:r>
            <w:r>
              <w:rPr>
                <w:rFonts w:hint="eastAsia" w:ascii="宋体" w:hAnsi="宋体" w:eastAsia="宋体" w:cs="宋体"/>
                <w:color w:val="auto"/>
                <w:sz w:val="24"/>
                <w:szCs w:val="24"/>
                <w:highlight w:val="none"/>
                <w:lang w:eastAsia="zh-CN"/>
              </w:rPr>
              <w:t>含轮辋</w:t>
            </w:r>
            <w:r>
              <w:rPr>
                <w:rFonts w:hint="eastAsia" w:ascii="宋体" w:hAnsi="宋体" w:eastAsia="宋体" w:cs="宋体"/>
                <w:color w:val="auto"/>
                <w:sz w:val="24"/>
                <w:szCs w:val="24"/>
                <w:highlight w:val="none"/>
              </w:rPr>
              <w:t>的备胎1只。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胎压监测</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1、本胎压监测是通过CAN总线模块对接车载仪表进行显示及报警提示，</w:t>
            </w:r>
            <w:r>
              <w:rPr>
                <w:rFonts w:hint="eastAsia" w:ascii="宋体" w:hAnsi="宋体" w:eastAsia="宋体" w:cs="宋体"/>
                <w:color w:val="auto"/>
                <w:sz w:val="24"/>
                <w:szCs w:val="24"/>
                <w:highlight w:val="none"/>
              </w:rPr>
              <w:t>向智能调度系统</w:t>
            </w:r>
            <w:r>
              <w:rPr>
                <w:rFonts w:hint="eastAsia" w:ascii="宋体" w:hAnsi="宋体" w:eastAsia="宋体" w:cs="宋体"/>
                <w:color w:val="auto"/>
                <w:sz w:val="24"/>
                <w:szCs w:val="24"/>
                <w:highlight w:val="none"/>
                <w:lang w:val="en-US" w:eastAsia="zh-CN"/>
              </w:rPr>
              <w:t>提供相关信息</w:t>
            </w:r>
            <w:r>
              <w:rPr>
                <w:rFonts w:hint="eastAsia" w:ascii="宋体" w:hAnsi="宋体" w:cs="宋体"/>
                <w:color w:val="auto"/>
                <w:sz w:val="24"/>
                <w:szCs w:val="24"/>
                <w:highlight w:val="none"/>
                <w:lang w:val="en-US" w:eastAsia="zh-CN"/>
              </w:rPr>
              <w:t>。</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2、具有低压、高压、高温、泄露和系统故障等多项预警功能，具有闪烁、声音等多种报警功能，提高报警效果。</w:t>
            </w:r>
          </w:p>
          <w:p>
            <w:pPr>
              <w:numPr>
                <w:ilvl w:val="0"/>
                <w:numId w:val="0"/>
              </w:numP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3、车载仪表显示，所有轮胎同时显示并显示压力值的变化，压力和温度同显，实时</w:t>
            </w:r>
            <w:r>
              <w:rPr>
                <w:rFonts w:hint="eastAsia" w:ascii="宋体" w:hAnsi="宋体" w:cs="宋体"/>
                <w:color w:val="auto"/>
                <w:sz w:val="24"/>
                <w:szCs w:val="24"/>
                <w:highlight w:val="none"/>
                <w:lang w:val="en-US" w:eastAsia="zh-CN"/>
              </w:rPr>
              <w:t>更新。</w:t>
            </w:r>
          </w:p>
          <w:p>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4、具备轮胎互换功能；可实现传感器自动学习、匹配</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与车辆CAN系统连接，有效实现数据传输，传感器使用环境最高温度不低于125℃ </w:t>
            </w: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电器线束</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整车线束按厂家标配，线束标记、布置，与整车线路图符合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尽可能减少高压连接点，高压线接头的螺栓用热敏（阻燃）材料防护到位,所有裸露的高压接头采用热敏材料热塑密封，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高压线固定间距标准300-500mm，高低压线束分开布置，不能以金属包箍固定导线，穿过骨架、大梁必须加装可靠的绝缘防磨损护套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隐蔽部位电线束加装阻燃绝缘套管并可靠固定，线束长度留有一定的余量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线束固定牢固标记清晰，走向合理安装规范，整根线束不得拼接，线束每隔300 mm安装固定扣攀。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电器接头牢固并有绝缘护套，所有电线接插件采用AMP产品（底盘部分防水型）。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单独在安装一套行车记录仪，带可打印行车记录仪；大屏幕中文显示，进口或国产模块；具故障自检、预报、行驶速度超40KM 语音自动报警提示；具有通讯、过载过流短路保护。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全车</w:t>
            </w:r>
            <w:r>
              <w:rPr>
                <w:rFonts w:hint="eastAsia" w:ascii="宋体" w:hAnsi="宋体" w:eastAsia="宋体" w:cs="宋体"/>
                <w:color w:val="auto"/>
                <w:sz w:val="24"/>
                <w:szCs w:val="24"/>
                <w:highlight w:val="none"/>
                <w:lang w:val="en-US" w:eastAsia="zh-CN"/>
              </w:rPr>
              <w:t>CAN仪表总线，工作显示电池（电量，电压，电流）、驱动电机(电压、电流、温度)，故障报警等功能。总线（</w:t>
            </w:r>
            <w:r>
              <w:rPr>
                <w:rFonts w:hint="eastAsia" w:ascii="宋体" w:hAnsi="宋体" w:cs="宋体"/>
                <w:color w:val="auto"/>
                <w:sz w:val="24"/>
                <w:szCs w:val="24"/>
                <w:highlight w:val="none"/>
                <w:lang w:val="en-US" w:eastAsia="zh-CN"/>
              </w:rPr>
              <w:t>优选高质量总线</w:t>
            </w:r>
            <w:r>
              <w:rPr>
                <w:rFonts w:hint="eastAsia" w:ascii="宋体" w:hAnsi="宋体" w:eastAsia="宋体" w:cs="宋体"/>
                <w:color w:val="auto"/>
                <w:sz w:val="24"/>
                <w:szCs w:val="24"/>
                <w:highlight w:val="none"/>
                <w:lang w:val="en-US" w:eastAsia="zh-CN"/>
              </w:rPr>
              <w:t>、8年质保）三级CAN处理。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总线控制模块舱必须满足防震、防水、防尘、防静电的要求，电器线路采用镀锡铜线，预留部分备用线路或接线柱，并且接线柱或接插件前端装有保险装置，满足增加用电器的需求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1、刷卡机、GPS系统、车载监控系统电源线采用双线制；要求电源从主配电板单独接入，安装单独保险，有专用接地线，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电源线为电源开关（电门钥匙）后控制电源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2、电喇叭为蜗牛式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7</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灯具与开关</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采用转向柱安装组合式开关，包括前照（大）灯、示宽（小）灯、转向灯、雨刮器、点火开关、等控制开关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大灯亮度必须符合雨天夜间行车照明要求，前照灯角度可调，室内采用LED照明灯，车厢内灯采用扁平弧形LED灯管，前后贯通，布置在空调风道内侧边缘。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所有开关由驾驶员控制，各类操纵开关安装和排列位置应方便驾驶员识别与操作；安装备用开关1-2个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8</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蓄电池</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采用1只≥60Ah或2只≥50Ah免维护蓄电池，蓄电池舱内电器件和线束固定牢固、排列整齐、安全可靠，蓄电池“+”或“-”级接柱连接线束加装过载断电保险装置。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蓄电池舱内电器件和线束固定牢固、排列整齐、安全可靠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9</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★车身漆色图案</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车身油漆采用环保汽车专用珍珠漆；漆色图案按买方要求配色喷涂，厂家提供多套漆色设计图案，供使用方选择。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车身结构与车身型材</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全承载车身、轻量化设计，一级踏步高度≤380mm。</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车身骨架整体强度满足公交客车运行寿命及高峰超载的要求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车身蒙皮采用辊压涨拉蒙皮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整车（包括车身主要覆盖件、骨架、底盘车架、前后围）经阴极电泳工艺处理。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车内饰材料技术性能须符合GB38262-2019标准，防火A0级。车身内顶和侧围整体采用无粉尘、无纤维、无甲醛、无对人体有害物质的闭泡式橡塑保温隔热材料进行隔热降噪处理；车厢前、后、顶、侧蒙皮夹层内及底部均要采用阻燃、保温、隔音降噪材料完全填充，车顶厚度大于35mm，其它区域最小厚度大于30mm，所有填充材料符合安全、环保、阻燃、无毒无异味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车顶骨架加密，车身骨架必须保证终生不断裂、不变形、不锈蚀、不腐烂；防止出现车顶漏（渗）水问题。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轮毂部位车身提供足够的强度以防止乘客受到爆胎的损伤，表层喷涂防腐、防水材料，防止出现轮毂部位漏（渗）水问题，前、后轮毂挡泥板橡胶皮离地15CM以内。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乘客可触及的车身内外部件、构件不应有尖角和锐边，车身外导水槽等不应有尖角和锐边</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1</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拖车钩与支车点</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车辆纵梁前部适当位置配伸缩式拖车钩，使用方便可靠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纵梁前部区域的各类管路、线束的布置应充分考虑拖车时的运动干涉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在前、后桥附近底部空间，应根据车架结构特点设置承重梁，在车身左右两侧设有多个支车点，并设支车点标志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前后围</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前后围采用薄钢板冲压成型或玻璃钢结构检修方便；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前后电子路牌窗透光区最小尺寸规格满足配装</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字以上汉字电子路牌结构需要，车内前后路牌检视窗盖板与车箱内饰板胶条隔垫，防止车辆行驶产生振动噪音。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3</w:t>
            </w:r>
          </w:p>
        </w:tc>
        <w:tc>
          <w:tcPr>
            <w:tcW w:w="144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车厢</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前风窗为双层夹胶全景隔热玻璃，配卷缩式前风档遮阳帘；后风窗为钢化玻璃；均采用粘接式结构。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车边两侧单一扇独立玻璃设置一扇内藏粘贴式推拉窗，窗框底边、双定位槽固定（用图说明）；粘接处使用进口玻璃粘接胶、填缝胶、阻尼胶；右边侧窗部分满足配装汉字电子路牌结构需要</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24</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车门</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采用电或气控制</w:t>
            </w:r>
            <w:r>
              <w:rPr>
                <w:rFonts w:hint="eastAsia" w:ascii="宋体" w:hAnsi="宋体" w:eastAsia="宋体" w:cs="宋体"/>
                <w:color w:val="auto"/>
                <w:sz w:val="24"/>
                <w:szCs w:val="24"/>
                <w:highlight w:val="none"/>
                <w:lang w:eastAsia="zh-CN"/>
              </w:rPr>
              <w:t>，内</w:t>
            </w:r>
            <w:r>
              <w:rPr>
                <w:rFonts w:hint="eastAsia" w:ascii="宋体" w:hAnsi="宋体" w:eastAsia="宋体" w:cs="宋体"/>
                <w:color w:val="auto"/>
                <w:sz w:val="24"/>
                <w:szCs w:val="24"/>
                <w:highlight w:val="none"/>
              </w:rPr>
              <w:t>摆臂或塞拉门结构(带防夹功能),采用优质电、气动核心元件,具备速度调节装置运行平稳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上客门安装前门遥控方便驾驶员开门。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门胶条采用优质三元乙丙材料，门胶条与门框边固定要牢固，门边密封无缝。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仪表台附近设总安全阀(功能只是断门泵气、电，不能做门开关用)，放阀门开关旁边贴有中文指示标牌，紧急情况下可将乘客门全部切断；前门和中门外面及车内上方风道(门泵箱外)均装有一个应急阀(功能是断门泵气、电路，不能做门开关用)，并配有明显使用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车门后有护栏板，乘客门踏步区域采用黄色踏步专用地板革，带红色“站立禁区”字样。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5</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下客门监视图像</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交报站彩色显示屏可显示中门下客监视图像（倒车监视摄像头与公交报站彩色显示屏兼容，倒车摄像头安装位置合理易维修、易更换，建议安装在车尾部厢内）。下客门监视图像接入CAN总线，开启下客门开关时，显示下客门图像通过CAN总线接入公交彩色调度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6</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乘客座椅</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镁铝合金底梁及椅脚，尼龙玻纤或注塑座椅防滑带皮革软垫公交座椅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主体无骨架设计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轻量化、高强度高档耐磨皮革</w:t>
            </w:r>
            <w:r>
              <w:rPr>
                <w:rFonts w:hint="eastAsia" w:ascii="宋体" w:hAnsi="宋体" w:eastAsia="宋体" w:cs="宋体"/>
                <w:color w:val="auto"/>
                <w:sz w:val="24"/>
                <w:szCs w:val="24"/>
                <w:highlight w:val="none"/>
                <w:lang w:eastAsia="zh-CN"/>
              </w:rPr>
              <w:t>、靠背</w:t>
            </w:r>
            <w:r>
              <w:rPr>
                <w:rFonts w:hint="eastAsia" w:ascii="宋体" w:hAnsi="宋体" w:eastAsia="宋体" w:cs="宋体"/>
                <w:color w:val="auto"/>
                <w:sz w:val="24"/>
                <w:szCs w:val="24"/>
                <w:highlight w:val="none"/>
              </w:rPr>
              <w:t>与主体分体式设计可拆卸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符合人体工程设计座椅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座椅靠背与坐垫可快速拆卸更换软/硬座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坐垫宽度大于等于440MM,提供座椅正反面图片。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公交座椅数量、颜色、设爱心专座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式样及排列方式事先经买方确认，</w:t>
            </w:r>
            <w:r>
              <w:rPr>
                <w:rFonts w:hint="eastAsia" w:ascii="宋体" w:hAnsi="宋体" w:eastAsia="宋体" w:cs="宋体"/>
                <w:bCs/>
                <w:color w:val="auto"/>
                <w:sz w:val="24"/>
                <w:szCs w:val="24"/>
                <w:highlight w:val="none"/>
              </w:rPr>
              <w:t>终身质保（</w:t>
            </w:r>
            <w:r>
              <w:rPr>
                <w:rFonts w:hint="eastAsia" w:ascii="宋体" w:hAnsi="宋体" w:eastAsia="宋体" w:cs="宋体"/>
                <w:bCs/>
                <w:color w:val="auto"/>
                <w:sz w:val="24"/>
                <w:szCs w:val="24"/>
                <w:highlight w:val="none"/>
                <w:lang w:eastAsia="zh-CN"/>
              </w:rPr>
              <w:t>包软座皮革破损</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司机座椅</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司机椅（外表皮革包围）前后、上下、靠背角度、减震可调；三点式安全带自动伸缩功能，坐垫宽度大于等于440MM。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8</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地板</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地板革：优选</w:t>
            </w:r>
            <w:r>
              <w:rPr>
                <w:rFonts w:hint="eastAsia" w:ascii="宋体" w:hAnsi="宋体" w:eastAsia="宋体" w:cs="宋体"/>
                <w:color w:val="auto"/>
                <w:sz w:val="24"/>
                <w:szCs w:val="24"/>
                <w:highlight w:val="none"/>
                <w:lang w:val="en-US" w:eastAsia="zh-CN"/>
              </w:rPr>
              <w:t>高质量</w:t>
            </w:r>
            <w:r>
              <w:rPr>
                <w:rFonts w:hint="eastAsia" w:ascii="宋体" w:hAnsi="宋体" w:eastAsia="宋体" w:cs="宋体"/>
                <w:color w:val="auto"/>
                <w:sz w:val="24"/>
                <w:szCs w:val="24"/>
                <w:highlight w:val="none"/>
              </w:rPr>
              <w:t>石英砂地板革产品，整车（车箱前、中、后）地板革铺垫延伸到侧围板向上50CM 或座椅底部(从地板向上计)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地板骨架加密平整，设有检修口和盖板，方便维修，PVC地板厚度大于等于18mm ,地板与底架之间涂装防震胶,。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9</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内饰</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优选</w:t>
            </w:r>
            <w:r>
              <w:rPr>
                <w:rFonts w:hint="eastAsia" w:ascii="宋体" w:hAnsi="宋体" w:eastAsia="宋体" w:cs="宋体"/>
                <w:color w:val="auto"/>
                <w:sz w:val="24"/>
                <w:szCs w:val="24"/>
                <w:highlight w:val="none"/>
                <w:lang w:val="en-US" w:eastAsia="zh-CN"/>
              </w:rPr>
              <w:t>高质量</w:t>
            </w:r>
            <w:r>
              <w:rPr>
                <w:rFonts w:hint="eastAsia" w:ascii="宋体" w:hAnsi="宋体" w:eastAsia="宋体" w:cs="宋体"/>
                <w:color w:val="auto"/>
                <w:sz w:val="24"/>
                <w:szCs w:val="24"/>
                <w:highlight w:val="none"/>
              </w:rPr>
              <w:t>空调风道,一体式铸造成型；设有位置合理广告固定支架，风道不得与前后路牌窗贯通，风道检修旋钮牢靠、接口平整、接口处采用胶皮等材料做避震缓冲防异响设置，检修口设置合理、排水管布置合理，防止冷凝水排入车内 ，8年质保。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内顶采用优质吸音塑板，侧围采用阻燃PVC深色双贴面板，固定铆钉间距加密（每排2个以上）防止振动，颜色与整个车厢环境相协调，表面光滑易清理。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驾驶区、控制台</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式仪表台；仪表台固定底板全密封防止漏风,不得开裂；仪表台上仪表、开关、按钮、手台柄位置合理，便于操纵；应充分考虑满足配装电子报站器、车载监控、GPS车载机、IC卡车载机等布置要求；驾驶室设置符合国家最新标准防护隔离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后视镜</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（1）车辆外侧安装【左短右长杆式手动后视镜】，车辆行驶时不应有明显的抖动，视野清晰。颜色与车辆整体协调。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（2）前顶右上角适当位置安装车内后视镜（大视角内视镜），便于驾驶员观察车厢内部。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司机窗</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为内藏粘贴式，玻璃框底边、侧边双定位槽固定，由前向后拉车窗，侧窗遮阳帘，窗外加设档水槽</w:t>
            </w:r>
            <w:r>
              <w:rPr>
                <w:rFonts w:hint="eastAsia" w:ascii="宋体" w:hAnsi="宋体" w:eastAsia="宋体" w:cs="宋体"/>
                <w:color w:val="auto"/>
                <w:sz w:val="24"/>
                <w:szCs w:val="24"/>
                <w:highlight w:val="none"/>
                <w:lang w:eastAsia="zh-CN"/>
              </w:rPr>
              <w:t>（用图说明）</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3</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顶风窗</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安全顶窗具有应急出口功能，满足应急出口尺寸要求。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下车照明</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乘客门设台阶灯，开门后自动发亮。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5</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扶栏、护板、吊环、USB充电</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车采用高强度铝合金扶栏，扶手各连接部位的螺栓加装保护螺套；最后排座位前如无遮挡的安装便于乘客进出的安全扶栏，驾驶室“H”型护栏（带防撞软包护套），中栏并且可活动等,上车门处加设一根铝合金杆用于安装IC刷卡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装广告型吊环（卡槽广告易更换），数量按标配。车厢两侧、仪表台安装USB插口。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6</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侧窗帘</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蓝色垂直折叠式侧窗帘【涤纶材质】带搭扣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7</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雨刮</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对刮双向卧倒式，带喷淋、快慢档装置,括刷面积满足驾驶员视野要求。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c>
          <w:tcPr>
            <w:tcW w:w="144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车内导乘屏</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线路显示牌</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车内</w:t>
            </w:r>
            <w:r>
              <w:rPr>
                <w:rFonts w:hint="eastAsia" w:ascii="宋体" w:hAnsi="宋体" w:eastAsia="宋体" w:cs="宋体"/>
                <w:color w:val="auto"/>
                <w:sz w:val="24"/>
                <w:szCs w:val="24"/>
                <w:highlight w:val="none"/>
                <w:lang w:val="en-US" w:eastAsia="zh-CN"/>
              </w:rPr>
              <w:t>LCD</w:t>
            </w:r>
            <w:r>
              <w:rPr>
                <w:rFonts w:hint="eastAsia" w:ascii="宋体" w:hAnsi="宋体" w:eastAsia="宋体" w:cs="宋体"/>
                <w:color w:val="auto"/>
                <w:sz w:val="24"/>
                <w:szCs w:val="24"/>
                <w:highlight w:val="none"/>
              </w:rPr>
              <w:t>显示屏（导乘屏）</w:t>
            </w:r>
            <w:r>
              <w:rPr>
                <w:rFonts w:hint="eastAsia" w:ascii="宋体" w:hAnsi="宋体" w:eastAsia="宋体" w:cs="宋体"/>
                <w:b w:val="0"/>
                <w:bCs w:val="0"/>
                <w:color w:val="auto"/>
                <w:sz w:val="24"/>
                <w:szCs w:val="24"/>
                <w:highlight w:val="none"/>
              </w:rPr>
              <w:t>32寸以上</w:t>
            </w:r>
            <w:r>
              <w:rPr>
                <w:rFonts w:hint="eastAsia" w:ascii="宋体" w:hAnsi="宋体" w:eastAsia="宋体" w:cs="宋体"/>
                <w:b w:val="0"/>
                <w:bCs w:val="0"/>
                <w:color w:val="auto"/>
                <w:sz w:val="24"/>
                <w:szCs w:val="24"/>
                <w:highlight w:val="none"/>
                <w:lang w:val="en-US" w:eastAsia="zh-CN"/>
              </w:rPr>
              <w:t>,安装在驾驶座后方，支持远程数据推送功能，与车载调度屏及车载终端调度一体机共享一张流量卡，</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调度屏</w:t>
            </w:r>
            <w:r>
              <w:rPr>
                <w:rFonts w:hint="eastAsia" w:ascii="宋体" w:hAnsi="宋体" w:eastAsia="宋体" w:cs="宋体"/>
                <w:color w:val="auto"/>
                <w:sz w:val="24"/>
                <w:szCs w:val="24"/>
                <w:highlight w:val="none"/>
              </w:rPr>
              <w:t>联动，</w:t>
            </w:r>
            <w:r>
              <w:rPr>
                <w:rFonts w:hint="eastAsia" w:ascii="宋体" w:hAnsi="宋体" w:eastAsia="宋体" w:cs="宋体"/>
                <w:color w:val="auto"/>
                <w:sz w:val="24"/>
                <w:szCs w:val="24"/>
                <w:highlight w:val="none"/>
                <w:lang w:eastAsia="zh-CN"/>
              </w:rPr>
              <w:t>可通过采购人当前使用的调度系统远程下发更改显示内容，</w:t>
            </w:r>
            <w:r>
              <w:rPr>
                <w:rFonts w:hint="eastAsia" w:ascii="宋体" w:hAnsi="宋体" w:eastAsia="宋体" w:cs="宋体"/>
                <w:color w:val="auto"/>
                <w:sz w:val="24"/>
                <w:szCs w:val="24"/>
                <w:highlight w:val="none"/>
              </w:rPr>
              <w:t>车内显示到站信息、广告服务用语，显示屏必须做好防护装置</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质保</w:t>
            </w:r>
            <w:r>
              <w:rPr>
                <w:rFonts w:hint="eastAsia" w:ascii="宋体" w:hAnsi="宋体" w:eastAsia="宋体" w:cs="宋体"/>
                <w:b/>
                <w:bCs/>
                <w:color w:val="auto"/>
                <w:sz w:val="24"/>
                <w:szCs w:val="24"/>
                <w:highlight w:val="none"/>
                <w:lang w:val="en-US" w:eastAsia="zh-CN"/>
              </w:rPr>
              <w:t>8年</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highlight w:val="none"/>
              </w:rPr>
            </w:pPr>
          </w:p>
        </w:tc>
        <w:tc>
          <w:tcPr>
            <w:tcW w:w="144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线路显示牌:前、</w:t>
            </w:r>
            <w:r>
              <w:rPr>
                <w:rFonts w:hint="eastAsia" w:ascii="宋体" w:hAnsi="宋体" w:eastAsia="宋体" w:cs="宋体"/>
                <w:color w:val="auto"/>
                <w:sz w:val="24"/>
                <w:szCs w:val="24"/>
                <w:highlight w:val="none"/>
                <w:lang w:eastAsia="zh-CN"/>
              </w:rPr>
              <w:t>腰、</w:t>
            </w:r>
            <w:r>
              <w:rPr>
                <w:rFonts w:hint="eastAsia" w:ascii="宋体" w:hAnsi="宋体" w:eastAsia="宋体" w:cs="宋体"/>
                <w:color w:val="auto"/>
                <w:sz w:val="24"/>
                <w:szCs w:val="24"/>
                <w:highlight w:val="none"/>
              </w:rPr>
              <w:t>后电子路牌全汉显</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个字，16*16点阵,亮度可调汉显路牌，与</w:t>
            </w:r>
            <w:r>
              <w:rPr>
                <w:rFonts w:hint="eastAsia" w:ascii="宋体" w:hAnsi="宋体" w:eastAsia="宋体" w:cs="宋体"/>
                <w:color w:val="auto"/>
                <w:sz w:val="24"/>
                <w:szCs w:val="24"/>
                <w:highlight w:val="none"/>
                <w:lang w:val="en-US" w:eastAsia="zh-CN"/>
              </w:rPr>
              <w:t>调度屏</w:t>
            </w:r>
            <w:r>
              <w:rPr>
                <w:rFonts w:hint="eastAsia" w:ascii="宋体" w:hAnsi="宋体" w:eastAsia="宋体" w:cs="宋体"/>
                <w:color w:val="auto"/>
                <w:sz w:val="24"/>
                <w:szCs w:val="24"/>
                <w:highlight w:val="none"/>
              </w:rPr>
              <w:t>联动，</w:t>
            </w:r>
            <w:r>
              <w:rPr>
                <w:rFonts w:hint="eastAsia" w:ascii="宋体" w:hAnsi="宋体" w:eastAsia="宋体" w:cs="宋体"/>
                <w:color w:val="auto"/>
                <w:sz w:val="24"/>
                <w:szCs w:val="24"/>
                <w:highlight w:val="none"/>
                <w:lang w:eastAsia="zh-CN"/>
              </w:rPr>
              <w:t>可通过采购人当前使用的调度系统远程下发更改显示内容，</w:t>
            </w:r>
            <w:r>
              <w:rPr>
                <w:rFonts w:hint="eastAsia" w:ascii="宋体" w:hAnsi="宋体" w:eastAsia="宋体" w:cs="宋体"/>
                <w:color w:val="auto"/>
                <w:sz w:val="24"/>
                <w:szCs w:val="24"/>
                <w:highlight w:val="none"/>
              </w:rPr>
              <w:t>均可显示显示线路、故障回场、停止营运等信息，尾牌含刹车、转弯、倒车提示功能</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质保</w:t>
            </w:r>
            <w:r>
              <w:rPr>
                <w:rFonts w:hint="eastAsia" w:ascii="宋体" w:hAnsi="宋体" w:eastAsia="宋体" w:cs="宋体"/>
                <w:b/>
                <w:bCs/>
                <w:color w:val="auto"/>
                <w:sz w:val="24"/>
                <w:szCs w:val="24"/>
                <w:highlight w:val="none"/>
                <w:lang w:val="en-US" w:eastAsia="zh-CN"/>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智慧公交设施</w:t>
            </w:r>
            <w:r>
              <w:rPr>
                <w:rFonts w:hint="eastAsia" w:ascii="宋体" w:hAnsi="宋体" w:eastAsia="宋体" w:cs="宋体"/>
                <w:color w:val="auto"/>
                <w:sz w:val="24"/>
                <w:szCs w:val="24"/>
                <w:highlight w:val="none"/>
                <w:lang w:val="en-US" w:eastAsia="zh-CN"/>
              </w:rPr>
              <w:t>采购及</w:t>
            </w:r>
            <w:r>
              <w:rPr>
                <w:rFonts w:hint="eastAsia" w:ascii="宋体" w:hAnsi="宋体" w:eastAsia="宋体" w:cs="宋体"/>
                <w:color w:val="auto"/>
                <w:sz w:val="24"/>
                <w:szCs w:val="24"/>
                <w:highlight w:val="none"/>
                <w:lang w:eastAsia="zh-CN"/>
              </w:rPr>
              <w:t>安装</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负责车载终端调度一体机、7寸LCD彩色调度屏等采购</w:t>
            </w:r>
            <w:r>
              <w:rPr>
                <w:rFonts w:hint="eastAsia" w:ascii="宋体" w:hAnsi="宋体" w:cs="宋体"/>
                <w:color w:val="auto"/>
                <w:sz w:val="24"/>
                <w:szCs w:val="24"/>
                <w:highlight w:val="none"/>
                <w:lang w:val="en-US" w:eastAsia="zh-CN"/>
              </w:rPr>
              <w:t>（采购的设备需满足采购人“智慧公交项目”的要求）</w:t>
            </w:r>
            <w:r>
              <w:rPr>
                <w:rFonts w:hint="eastAsia" w:ascii="宋体" w:hAnsi="宋体" w:eastAsia="宋体" w:cs="宋体"/>
                <w:color w:val="auto"/>
                <w:sz w:val="24"/>
                <w:szCs w:val="24"/>
                <w:highlight w:val="none"/>
                <w:lang w:val="en-US" w:eastAsia="zh-CN"/>
              </w:rPr>
              <w:t>并进行线路布置、安装等工作，调度一体机及调度屏须与采购人现有调度系统无缝对接，终端一体机安装在驾驶座后(适当位置)工具箱内，GPS天线安装A柱上，要求易检修、易更换，调度屏安装方式为嵌入式，能够实现倒车显示和中门开门显示；安装8路彩色红外金属摄像机拍摄(1、路面（ADAS摄像头）2、上客门及投币机3、驾驶员4、驾驶员（ADAS摄像头）5、车内前部向后 6、车内后部向前、7、下客门8、倒车摄像头（带录像功能，与调度一体机无缝对接）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9</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动态公交司机端平板</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CPU核心数：八核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平板内存：4GB+64GB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屏幕尺寸：8英寸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分辨率：1920*1200dpi</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功能：多点触控、GPS导航、语音通话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网络制式：</w:t>
            </w:r>
            <w:r>
              <w:rPr>
                <w:rFonts w:hint="eastAsia" w:ascii="宋体" w:hAnsi="宋体" w:eastAsia="宋体" w:cs="宋体"/>
                <w:color w:val="auto"/>
                <w:sz w:val="24"/>
                <w:szCs w:val="24"/>
                <w:highlight w:val="none"/>
              </w:rPr>
              <w:t>支持移动/联通/电信 4G/3G/2G移动4G（TD-LTE）/联通4G（TD-LTE/LTE FDD）/电信 4G（TD-LTE/LTE FDD）移动3G（TD-SCDMA）/联通3G（WCDMA）/电信3G（CDMA）移动2G、联通2G（GSM）/电信2G（CDMA）</w:t>
            </w:r>
          </w:p>
          <w:p>
            <w:pPr>
              <w:pStyle w:val="21"/>
              <w:keepNext w:val="0"/>
              <w:keepLines w:val="0"/>
              <w:pageBreakBefore w:val="0"/>
              <w:widowControl w:val="0"/>
              <w:kinsoku/>
              <w:wordWrap/>
              <w:overflowPunct/>
              <w:topLinePunct w:val="0"/>
              <w:autoSpaceDE/>
              <w:autoSpaceDN/>
              <w:bidi w:val="0"/>
              <w:adjustRightInd/>
              <w:snapToGrid/>
              <w:spacing w:line="440" w:lineRule="exact"/>
              <w:ind w:left="487" w:leftChars="0" w:right="-11" w:rightChars="0" w:hanging="487" w:hangingChars="203"/>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安装方式及位置：采用支架安装，要求安装牢固，行车中不会晃动，安装于驾驶员右侧靠近仪表盘及</w:t>
            </w:r>
            <w:r>
              <w:rPr>
                <w:rFonts w:hint="eastAsia" w:ascii="宋体" w:hAnsi="宋体" w:eastAsia="宋体" w:cs="宋体"/>
                <w:color w:val="auto"/>
                <w:sz w:val="24"/>
                <w:szCs w:val="24"/>
                <w:highlight w:val="none"/>
                <w:lang w:val="en-US" w:eastAsia="zh-CN"/>
              </w:rPr>
              <w:t>USB接口，便于驾驶员操作及设备实时充电。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车载移动支付</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负责</w:t>
            </w:r>
            <w:r>
              <w:rPr>
                <w:rFonts w:hint="eastAsia" w:ascii="宋体" w:hAnsi="宋体" w:eastAsia="宋体" w:cs="宋体"/>
                <w:color w:val="auto"/>
                <w:sz w:val="24"/>
                <w:szCs w:val="24"/>
                <w:highlight w:val="none"/>
              </w:rPr>
              <w:t>国朗车载</w:t>
            </w:r>
            <w:r>
              <w:rPr>
                <w:rFonts w:hint="eastAsia" w:ascii="宋体" w:hAnsi="宋体" w:eastAsia="宋体" w:cs="宋体"/>
                <w:color w:val="auto"/>
                <w:sz w:val="24"/>
                <w:szCs w:val="24"/>
                <w:highlight w:val="none"/>
                <w:lang w:eastAsia="zh-CN"/>
              </w:rPr>
              <w:t>全支付一体机支架、电源线采购及安装</w:t>
            </w:r>
            <w:r>
              <w:rPr>
                <w:rFonts w:hint="eastAsia" w:ascii="宋体" w:hAnsi="宋体" w:eastAsia="宋体" w:cs="宋体"/>
                <w:color w:val="auto"/>
                <w:sz w:val="24"/>
                <w:szCs w:val="24"/>
                <w:highlight w:val="none"/>
              </w:rPr>
              <w:t>。注：国朗车载收费机为采购人统一使用的产品,联系方式：</w:t>
            </w:r>
            <w:r>
              <w:rPr>
                <w:rFonts w:hint="eastAsia" w:ascii="宋体" w:hAnsi="宋体" w:eastAsia="宋体" w:cs="宋体"/>
                <w:color w:val="auto"/>
                <w:sz w:val="24"/>
                <w:szCs w:val="24"/>
                <w:highlight w:val="none"/>
                <w:lang w:eastAsia="zh-CN"/>
              </w:rPr>
              <w:t>黄先生，</w:t>
            </w:r>
            <w:r>
              <w:rPr>
                <w:rFonts w:hint="eastAsia" w:ascii="宋体" w:hAnsi="宋体" w:eastAsia="宋体" w:cs="宋体"/>
                <w:color w:val="auto"/>
                <w:sz w:val="24"/>
                <w:szCs w:val="24"/>
                <w:highlight w:val="none"/>
                <w:lang w:val="en-US" w:eastAsia="zh-CN"/>
              </w:rPr>
              <w:t>18069857322</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1套支架及电源线</w:t>
            </w:r>
            <w:r>
              <w:rPr>
                <w:rFonts w:hint="eastAsia" w:ascii="宋体" w:hAnsi="宋体" w:eastAsia="宋体" w:cs="宋体"/>
                <w:color w:val="auto"/>
                <w:sz w:val="24"/>
                <w:szCs w:val="24"/>
                <w:highlight w:val="none"/>
              </w:rPr>
              <w:t>合计价格</w:t>
            </w: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9"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tc>
        <w:tc>
          <w:tcPr>
            <w:tcW w:w="144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投币机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p>
        </w:tc>
        <w:tc>
          <w:tcPr>
            <w:tcW w:w="85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智能安全防盗投币箱，防钓币、防恶意破坏，箱体采用不锈钢材质、一只箱体、两只塑料内胆储币袋，钥匙统一。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9" w:type="dxa"/>
            <w:vMerge w:val="continue"/>
            <w:tcBorders>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440" w:lineRule="exact"/>
              <w:ind w:left="446" w:leftChars="0" w:right="-11" w:rightChars="0" w:hanging="446" w:hangingChars="203"/>
              <w:jc w:val="both"/>
              <w:textAlignment w:val="auto"/>
              <w:rPr>
                <w:highlight w:val="none"/>
              </w:rPr>
            </w:pPr>
          </w:p>
        </w:tc>
        <w:tc>
          <w:tcPr>
            <w:tcW w:w="1447" w:type="dxa"/>
            <w:vMerge w:val="continue"/>
            <w:tcBorders>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440" w:lineRule="exact"/>
              <w:ind w:left="446" w:leftChars="0" w:right="-11" w:rightChars="0" w:hanging="446" w:hangingChars="203"/>
              <w:jc w:val="both"/>
              <w:textAlignment w:val="auto"/>
              <w:rPr>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投币口采用“双S”型交叉落币通道，中间设智能活动翻板，投币机翻板开关与前门联动，智能箱门、机械锁内胆总成，锁具要求为金属齿轮。箱门与箱体间加装胶皮等材料起减震防异响作用。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49" w:type="dxa"/>
            <w:tcBorders>
              <w:left w:val="single" w:color="auto" w:sz="4" w:space="0"/>
              <w:right w:val="single" w:color="auto" w:sz="4" w:space="0"/>
            </w:tcBorders>
            <w:noWrap w:val="0"/>
            <w:vAlign w:val="center"/>
          </w:tcPr>
          <w:p>
            <w:pPr>
              <w:spacing w:line="24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w:t>
            </w:r>
          </w:p>
        </w:tc>
        <w:tc>
          <w:tcPr>
            <w:tcW w:w="1447" w:type="dxa"/>
            <w:tcBorders>
              <w:left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公交标识</w:t>
            </w:r>
          </w:p>
        </w:tc>
        <w:tc>
          <w:tcPr>
            <w:tcW w:w="8565"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上客门、下客门、爱心座椅、安全窗、支车点等标识按《城市公共交通标志》标准制作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3</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灭火器</w:t>
            </w:r>
          </w:p>
        </w:tc>
        <w:tc>
          <w:tcPr>
            <w:tcW w:w="8565"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4kg干粉或水基带压力表灭火器2只前后无遮挡布置。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工具箱</w:t>
            </w:r>
          </w:p>
        </w:tc>
        <w:tc>
          <w:tcPr>
            <w:tcW w:w="8565"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位置视车厢内驾驶室后空间而定（上下两层或三层），并配一套专用随车工具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5</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垃圾篓及清洁用具</w:t>
            </w:r>
          </w:p>
        </w:tc>
        <w:tc>
          <w:tcPr>
            <w:tcW w:w="8565"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不锈钢</w:t>
            </w:r>
            <w:r>
              <w:rPr>
                <w:rFonts w:hint="eastAsia" w:ascii="宋体" w:hAnsi="宋体" w:cs="宋体"/>
                <w:color w:val="auto"/>
                <w:sz w:val="24"/>
                <w:szCs w:val="24"/>
                <w:highlight w:val="none"/>
                <w:lang w:val="en-US" w:eastAsia="zh-CN"/>
              </w:rPr>
              <w:t>垃圾分类垃圾桶</w:t>
            </w:r>
            <w:r>
              <w:rPr>
                <w:rFonts w:hint="eastAsia" w:ascii="宋体" w:hAnsi="宋体" w:eastAsia="宋体" w:cs="宋体"/>
                <w:color w:val="auto"/>
                <w:sz w:val="24"/>
                <w:szCs w:val="24"/>
                <w:highlight w:val="none"/>
              </w:rPr>
              <w:t>（带固定支架）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并在桶盖及桶身注明“可回收垃圾”、“其他垃圾”字样，安装一套，随车携带一套</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6</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司机风扇</w:t>
            </w:r>
          </w:p>
        </w:tc>
        <w:tc>
          <w:tcPr>
            <w:tcW w:w="8565"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在司机左立柱配备橡胶叶片小风扇。安装位置避免造成驾驶视线遮挡。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7</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电子钟</w:t>
            </w:r>
          </w:p>
        </w:tc>
        <w:tc>
          <w:tcPr>
            <w:tcW w:w="8565"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按厂家标配内外双温显电子钟。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8</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下车提示按钮</w:t>
            </w:r>
          </w:p>
        </w:tc>
        <w:tc>
          <w:tcPr>
            <w:tcW w:w="8565"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下客门两侧扶手杆距地板1.35米高度处各安装下车提示按钮1只（共2只）；下客门上方喷"下车请按铃"字样并且须有语音播报；每只下车提示按钮上方设"下车请按铃"永久性标识。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9</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乘客标尺</w:t>
            </w:r>
          </w:p>
        </w:tc>
        <w:tc>
          <w:tcPr>
            <w:tcW w:w="8565"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在前门上客扶手立杆设1.2米及1.5米儿童身高标志及"标志线以上儿童请购票"永久性标识；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50</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安全锤</w:t>
            </w:r>
          </w:p>
        </w:tc>
        <w:tc>
          <w:tcPr>
            <w:tcW w:w="8565"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带报警装置车用安全锤5把，须符合标准客车应急锤产品型号目录。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1</w:t>
            </w:r>
          </w:p>
        </w:tc>
        <w:tc>
          <w:tcPr>
            <w:tcW w:w="1001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749" w:type="dxa"/>
            <w:vMerge w:val="restart"/>
            <w:tcBorders>
              <w:top w:val="single" w:color="auto" w:sz="4" w:space="0"/>
              <w:left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.1</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★电动单冷空调</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制冷量符合车辆内部容积要求，耗电量优于纯电动车辆节能要求。空调采用铜质冷凝器和蒸发器顶置方式、接插件为AMP，蒸发风机、冷凝风机选用EBM直流无刷低噪音（噪音低于国家标准）</w:t>
            </w:r>
            <w:r>
              <w:rPr>
                <w:rFonts w:hint="eastAsia" w:ascii="宋体" w:hAnsi="宋体" w:cs="宋体"/>
                <w:color w:val="auto"/>
                <w:sz w:val="24"/>
                <w:szCs w:val="24"/>
                <w:highlight w:val="none"/>
                <w:lang w:val="en-US" w:eastAsia="zh-CN"/>
              </w:rPr>
              <w:t>优选高质量空调</w:t>
            </w:r>
            <w:r>
              <w:rPr>
                <w:rFonts w:hint="eastAsia" w:ascii="宋体" w:hAnsi="宋体" w:eastAsia="宋体" w:cs="宋体"/>
                <w:color w:val="auto"/>
                <w:sz w:val="24"/>
                <w:szCs w:val="24"/>
                <w:highlight w:val="none"/>
              </w:rPr>
              <w:t>；冷凝风机、蒸发风机数量采用多个设置；车厢最低温度设为24摄氏。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进口膨胀阀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管路为铜管，环保型R407c制冷剂、压缩机(卧式全封闭涡旋、低噪、节能)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Merge w:val="continue"/>
            <w:tcBorders>
              <w:left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p>
        </w:tc>
        <w:tc>
          <w:tcPr>
            <w:tcW w:w="8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控制器；数显、智能温控、触摸式按键、故障指示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需配备CAN总线通讯模块，设定温度、通过车身CAN总线向智能调度系统提供空调开关信号、实时温度等信息，工作状态上传至车身CAN（通讯协议符合J1939标准）。</w:t>
            </w:r>
          </w:p>
          <w:p>
            <w:pPr>
              <w:spacing w:line="240" w:lineRule="auto"/>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left w:val="single" w:color="auto" w:sz="4" w:space="0"/>
              <w:right w:val="single" w:color="auto" w:sz="4" w:space="0"/>
            </w:tcBorders>
            <w:noWrap w:val="0"/>
            <w:vAlign w:val="center"/>
          </w:tcPr>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电热除霜装置</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电热除霜装置采用高压电热暖风除霜系统（风机功率确定必须符合纯电动车辆节能因素），电气绝缘隔离性能满足安全防护要求，除霜效果保证玻璃的正常可视，进气通道采用内循环。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left w:val="single" w:color="auto" w:sz="4" w:space="0"/>
              <w:right w:val="single" w:color="auto" w:sz="4" w:space="0"/>
            </w:tcBorders>
            <w:noWrap w:val="0"/>
            <w:vAlign w:val="center"/>
          </w:tcPr>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3</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三角警告牌和停车三角木</w:t>
            </w:r>
          </w:p>
        </w:tc>
        <w:tc>
          <w:tcPr>
            <w:tcW w:w="85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本配置表未列入部分按厂家标准配置。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noWrap w:val="0"/>
            <w:vAlign w:val="center"/>
          </w:tcPr>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4</w:t>
            </w:r>
          </w:p>
        </w:tc>
        <w:tc>
          <w:tcPr>
            <w:tcW w:w="1447" w:type="dxa"/>
            <w:noWrap w:val="0"/>
            <w:vAlign w:val="center"/>
          </w:tcPr>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新车贮电量</w:t>
            </w:r>
          </w:p>
        </w:tc>
        <w:tc>
          <w:tcPr>
            <w:tcW w:w="8565" w:type="dxa"/>
            <w:noWrap w:val="0"/>
            <w:vAlign w:val="center"/>
          </w:tcPr>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送车至卸车地点时，</w:t>
            </w:r>
            <w:r>
              <w:rPr>
                <w:rFonts w:hint="eastAsia" w:ascii="宋体" w:hAnsi="宋体" w:eastAsia="宋体" w:cs="宋体"/>
                <w:color w:val="auto"/>
                <w:sz w:val="24"/>
                <w:szCs w:val="24"/>
                <w:highlight w:val="none"/>
                <w:lang w:val="zh-CN"/>
              </w:rPr>
              <w:t>动力电源储电</w:t>
            </w:r>
            <w:r>
              <w:rPr>
                <w:rFonts w:hint="eastAsia" w:ascii="宋体" w:hAnsi="宋体" w:eastAsia="宋体" w:cs="宋体"/>
                <w:color w:val="auto"/>
                <w:sz w:val="24"/>
                <w:szCs w:val="24"/>
                <w:highlight w:val="none"/>
              </w:rPr>
              <w:t>量不低于配电的80%，以保证新车能行驶到充电场站及满足检测上牌行驶里程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noWrap w:val="0"/>
            <w:vAlign w:val="center"/>
          </w:tcPr>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5</w:t>
            </w:r>
          </w:p>
        </w:tc>
        <w:tc>
          <w:tcPr>
            <w:tcW w:w="1447" w:type="dxa"/>
            <w:noWrap w:val="0"/>
            <w:vAlign w:val="center"/>
          </w:tcPr>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送车</w:t>
            </w:r>
          </w:p>
        </w:tc>
        <w:tc>
          <w:tcPr>
            <w:tcW w:w="8565" w:type="dxa"/>
            <w:noWrap w:val="0"/>
            <w:vAlign w:val="center"/>
          </w:tcPr>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厂家送车至指定地点，送车及装卸费用，计入投标单价</w:t>
            </w:r>
          </w:p>
        </w:tc>
      </w:tr>
    </w:tbl>
    <w:p>
      <w:pPr>
        <w:pStyle w:val="2"/>
        <w:numPr>
          <w:ilvl w:val="0"/>
          <w:numId w:val="0"/>
        </w:numPr>
        <w:ind w:leftChars="0"/>
        <w:rPr>
          <w:rFonts w:hint="eastAsia"/>
          <w:color w:val="auto"/>
          <w:highlight w:val="none"/>
        </w:rPr>
      </w:pPr>
    </w:p>
    <w:p>
      <w:pPr>
        <w:pStyle w:val="2"/>
        <w:numPr>
          <w:ilvl w:val="0"/>
          <w:numId w:val="0"/>
        </w:numPr>
        <w:ind w:leftChars="0"/>
        <w:rPr>
          <w:rFonts w:hint="eastAsia"/>
          <w:color w:val="auto"/>
          <w:highlight w:val="none"/>
        </w:rPr>
      </w:pPr>
    </w:p>
    <w:p>
      <w:pPr>
        <w:tabs>
          <w:tab w:val="left" w:pos="3066"/>
        </w:tabs>
        <w:adjustRightInd w:val="0"/>
        <w:snapToGrid w:val="0"/>
        <w:spacing w:line="312" w:lineRule="auto"/>
        <w:rPr>
          <w:rFonts w:hint="default" w:ascii="宋体" w:hAnsi="宋体" w:cs="宋体"/>
          <w:b/>
          <w:bCs/>
          <w:color w:val="auto"/>
          <w:highlight w:val="none"/>
          <w:lang w:val="en-US"/>
        </w:rPr>
      </w:pPr>
      <w:r>
        <w:rPr>
          <w:rFonts w:hint="eastAsia" w:ascii="宋体" w:hAnsi="宋体" w:cs="宋体"/>
          <w:b/>
          <w:bCs/>
          <w:color w:val="auto"/>
          <w:highlight w:val="none"/>
          <w:lang w:val="en-US" w:eastAsia="zh-CN"/>
        </w:rPr>
        <w:t>标项二参数：</w:t>
      </w:r>
    </w:p>
    <w:tbl>
      <w:tblPr>
        <w:tblStyle w:val="42"/>
        <w:tblW w:w="10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657"/>
        <w:gridCol w:w="8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b/>
                <w:color w:val="auto"/>
                <w:sz w:val="24"/>
                <w:szCs w:val="24"/>
                <w:highlight w:val="none"/>
              </w:rPr>
            </w:pPr>
            <w:bookmarkStart w:id="4" w:name="_Toc482497086"/>
            <w:r>
              <w:rPr>
                <w:rFonts w:hint="eastAsia" w:ascii="宋体" w:hAnsi="宋体" w:eastAsia="宋体" w:cs="宋体"/>
                <w:b/>
                <w:color w:val="auto"/>
                <w:sz w:val="24"/>
                <w:szCs w:val="24"/>
                <w:highlight w:val="none"/>
              </w:rPr>
              <w:t>序号</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内容/部件</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763" w:type="dxa"/>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57" w:type="dxa"/>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保证车辆符合上牌条件，保证车辆上牌前满足国家新能源相关政策要求具有国家产品公告、免税购置目录。</w:t>
            </w:r>
            <w:r>
              <w:rPr>
                <w:rFonts w:hint="eastAsia" w:ascii="宋体" w:hAnsi="宋体" w:eastAsia="宋体" w:cs="宋体"/>
                <w:color w:val="auto"/>
                <w:sz w:val="24"/>
                <w:szCs w:val="24"/>
                <w:highlight w:val="none"/>
                <w:u w:val="single"/>
              </w:rPr>
              <w:t>如投标人交付车辆与以上公告、目录不符，造成不能正常上牌，一切损失由投标人自行承担。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客车设计</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体造型设计新颖美观，体现节能环保、经济实用、安全舒适、维护简便；达到结构布置合理、乘坐舒适、驾驶灵活稳定、工艺质量可靠等要求；特别是在电驱动控制和技术匹配、防漏电安全防护、降噪处理、车内人性化设计、结构和工艺等方面具有专长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车身造型要求美观大方，整车材料符合相关标准和节能环保要求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采用新技术、新工艺、新材料，结构布置合理，工艺质量可靠，技术性能和结构工艺体现国内先进水平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噪音限值</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噪音限值符合或优于国家标准，提供有关检测报告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电磁辐射</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电磁辐射符合国家标准，提供有关检测报告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基本参数</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基本参数和技术性能必须符合电动客车国家和行业的有关标准要求，与公告目录一致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★车身尺寸</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长度6.5（含）-6.99（含）米，宽度≥2.1米，轮胎要求后四轮。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最大核载数</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核载人数</w:t>
            </w:r>
            <w:r>
              <w:rPr>
                <w:rFonts w:hint="eastAsia" w:ascii="宋体" w:hAnsi="宋体" w:eastAsia="宋体" w:cs="宋体"/>
                <w:b/>
                <w:color w:val="auto"/>
                <w:sz w:val="24"/>
                <w:szCs w:val="24"/>
                <w:highlight w:val="none"/>
                <w:lang w:val="en-US" w:eastAsia="zh-CN"/>
              </w:rPr>
              <w:t>≥28</w:t>
            </w:r>
            <w:r>
              <w:rPr>
                <w:rFonts w:hint="eastAsia" w:ascii="宋体" w:hAnsi="宋体" w:eastAsia="宋体" w:cs="宋体"/>
                <w:color w:val="auto"/>
                <w:sz w:val="24"/>
                <w:szCs w:val="24"/>
                <w:highlight w:val="none"/>
              </w:rPr>
              <w:t>人；乘客座位数：≥1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根据采购人需求进行布局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8</w:t>
            </w:r>
          </w:p>
        </w:tc>
        <w:tc>
          <w:tcPr>
            <w:tcW w:w="100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动力系统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6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★驱动形式</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永磁同步电机驱动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要求驱动电机额定功率≥</w:t>
            </w:r>
            <w:r>
              <w:rPr>
                <w:rFonts w:hint="eastAsia" w:ascii="宋体" w:hAnsi="宋体" w:eastAsia="宋体" w:cs="宋体"/>
                <w:b w:val="0"/>
                <w:bCs/>
                <w:color w:val="auto"/>
                <w:sz w:val="24"/>
                <w:szCs w:val="24"/>
                <w:highlight w:val="none"/>
                <w:lang w:val="en-US" w:eastAsia="zh-CN"/>
              </w:rPr>
              <w:t>50</w:t>
            </w:r>
            <w:r>
              <w:rPr>
                <w:rFonts w:hint="eastAsia" w:ascii="宋体" w:hAnsi="宋体" w:eastAsia="宋体" w:cs="宋体"/>
                <w:b w:val="0"/>
                <w:bCs/>
                <w:color w:val="auto"/>
                <w:sz w:val="24"/>
                <w:szCs w:val="24"/>
                <w:highlight w:val="none"/>
              </w:rPr>
              <w:t>kW，峰值功率≥</w:t>
            </w:r>
            <w:r>
              <w:rPr>
                <w:rFonts w:hint="eastAsia" w:ascii="宋体" w:hAnsi="宋体" w:eastAsia="宋体" w:cs="宋体"/>
                <w:b w:val="0"/>
                <w:bCs/>
                <w:color w:val="auto"/>
                <w:sz w:val="24"/>
                <w:szCs w:val="24"/>
                <w:highlight w:val="none"/>
                <w:lang w:val="en-US" w:eastAsia="zh-CN"/>
              </w:rPr>
              <w:t>100</w:t>
            </w:r>
            <w:r>
              <w:rPr>
                <w:rFonts w:hint="eastAsia" w:ascii="宋体" w:hAnsi="宋体" w:eastAsia="宋体" w:cs="宋体"/>
                <w:b w:val="0"/>
                <w:bCs/>
                <w:color w:val="auto"/>
                <w:sz w:val="24"/>
                <w:szCs w:val="24"/>
                <w:highlight w:val="none"/>
              </w:rPr>
              <w:t xml:space="preserve"> kW。提供投标车型的驱动电机峰值功率/转速/转矩，以投标车型整车公告页技术参数数据和中国汽车网查询为准。选用质量稳定性好、效率高、噪音低的</w:t>
            </w:r>
            <w:r>
              <w:rPr>
                <w:rFonts w:hint="eastAsia" w:ascii="宋体" w:hAnsi="宋体" w:eastAsia="宋体" w:cs="宋体"/>
                <w:b w:val="0"/>
                <w:bCs/>
                <w:color w:val="auto"/>
                <w:sz w:val="24"/>
                <w:szCs w:val="24"/>
                <w:highlight w:val="none"/>
                <w:lang w:val="en-US" w:eastAsia="zh-CN"/>
              </w:rPr>
              <w:t>高质量</w:t>
            </w:r>
            <w:r>
              <w:rPr>
                <w:rFonts w:hint="eastAsia" w:ascii="宋体" w:hAnsi="宋体" w:eastAsia="宋体" w:cs="宋体"/>
                <w:b w:val="0"/>
                <w:bCs/>
                <w:color w:val="auto"/>
                <w:sz w:val="24"/>
                <w:szCs w:val="24"/>
                <w:highlight w:val="none"/>
              </w:rPr>
              <w:t>电机，防护等级IP68以上。质保8年；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制动时具有制动能量回收和电磁缓速功能，当电磁缓速失效时具备提示功能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w:t>
            </w:r>
          </w:p>
        </w:tc>
        <w:tc>
          <w:tcPr>
            <w:tcW w:w="16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★动力电池组</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动力电池：电池种类为磷酸铁锂电池，质保8年，储能系统：</w:t>
            </w:r>
          </w:p>
          <w:p>
            <w:pPr>
              <w:keepNext w:val="0"/>
              <w:keepLines w:val="0"/>
              <w:pageBreakBefore w:val="0"/>
              <w:kinsoku/>
              <w:wordWrap/>
              <w:topLinePunct w:val="0"/>
              <w:bidi w:val="0"/>
              <w:snapToGrid/>
              <w:spacing w:line="400" w:lineRule="exac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系统能量密度≥</w:t>
            </w:r>
            <w:r>
              <w:rPr>
                <w:rFonts w:hint="eastAsia" w:ascii="宋体" w:hAnsi="宋体" w:cs="宋体"/>
                <w:b w:val="0"/>
                <w:bCs/>
                <w:color w:val="auto"/>
                <w:sz w:val="24"/>
                <w:szCs w:val="24"/>
                <w:highlight w:val="none"/>
                <w:lang w:val="en-US" w:eastAsia="zh-CN"/>
              </w:rPr>
              <w:t>13</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wh/kg (需提供电池生产厂家报吿支撑)，</w:t>
            </w:r>
            <w:r>
              <w:rPr>
                <w:rFonts w:hint="eastAsia" w:ascii="宋体" w:hAnsi="宋体" w:eastAsia="宋体" w:cs="宋体"/>
                <w:b w:val="0"/>
                <w:bCs/>
                <w:color w:val="auto"/>
                <w:sz w:val="24"/>
                <w:szCs w:val="24"/>
                <w:highlight w:val="none"/>
                <w:lang w:eastAsia="zh-CN"/>
              </w:rPr>
              <w:t>水冷散热。</w:t>
            </w:r>
          </w:p>
          <w:p>
            <w:pPr>
              <w:keepNext w:val="0"/>
              <w:keepLines w:val="0"/>
              <w:pageBreakBefore w:val="0"/>
              <w:kinsoku/>
              <w:wordWrap/>
              <w:topLinePunct w:val="0"/>
              <w:bidi w:val="0"/>
              <w:snapToGrid/>
              <w:spacing w:line="400" w:lineRule="exact"/>
              <w:rPr>
                <w:rFonts w:hint="eastAsia" w:ascii="宋体" w:hAnsi="宋体" w:eastAsia="宋体" w:cs="宋体"/>
                <w:b/>
                <w:bCs w:val="0"/>
                <w:strike w:val="0"/>
                <w:dstrike w:val="0"/>
                <w:color w:val="auto"/>
                <w:sz w:val="24"/>
                <w:szCs w:val="24"/>
                <w:highlight w:val="none"/>
                <w:lang w:val="en-US" w:eastAsia="zh-CN"/>
              </w:rPr>
            </w:pPr>
            <w:r>
              <w:rPr>
                <w:rFonts w:hint="eastAsia" w:ascii="宋体" w:hAnsi="宋体" w:eastAsia="宋体" w:cs="宋体"/>
                <w:b/>
                <w:bCs w:val="0"/>
                <w:strike w:val="0"/>
                <w:dstrike w:val="0"/>
                <w:color w:val="auto"/>
                <w:sz w:val="24"/>
                <w:szCs w:val="24"/>
                <w:highlight w:val="none"/>
                <w:lang w:val="en-US" w:eastAsia="zh-CN"/>
              </w:rPr>
              <w:t>电池储能≧120KWH；</w:t>
            </w:r>
          </w:p>
          <w:p>
            <w:pPr>
              <w:keepNext w:val="0"/>
              <w:keepLines w:val="0"/>
              <w:pageBreakBefore w:val="0"/>
              <w:kinsoku/>
              <w:wordWrap/>
              <w:topLinePunct w:val="0"/>
              <w:bidi w:val="0"/>
              <w:snapToGrid/>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动力电池能量衰减要求：在质保期内无偿每年定期质量检测，并对有问题的电池进行临时检测，</w:t>
            </w: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年内电池组容量衰减不得超过20%</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否则须无条件免费更换新电池。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充电形式：慢充快补。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电池箱经多项破坏性试验达到国标要求，电池箱具有过流、过压、欠压、短路自动保护报警装置，电池管理系统报警给整车控制器，由整车控制器自动切断供电；电池箱防护等级IP6</w:t>
            </w: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及以上，安装位置满足涉水深度要求。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电池管理系统，可监控每个单体的电压、模组的温度、电池系统电流、电量，电池管理系统能对电池的温度、电压、电量、电流、绝缘性能等项目异常报警，电池系统自带远程安全监测系统，满足GB/T31467.3-2015安全标准，并提供国家认可的第三方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电芯体系选用锂离子动力电池，最大充电电流具备不小于1C的持续充电至80%SOC能力。整车最低SOC需能达到20%；每组配有熔断器，发生意外情况可及时切断电池连接，动力电池安装在车辆的底部</w:t>
            </w:r>
            <w:r>
              <w:rPr>
                <w:rFonts w:hint="eastAsia" w:ascii="宋体" w:hAnsi="宋体" w:eastAsia="宋体" w:cs="宋体"/>
                <w:color w:val="auto"/>
                <w:sz w:val="24"/>
                <w:szCs w:val="24"/>
                <w:highlight w:val="none"/>
                <w:lang w:eastAsia="zh-CN"/>
              </w:rPr>
              <w:t>或顶部</w:t>
            </w:r>
            <w:r>
              <w:rPr>
                <w:rFonts w:hint="eastAsia" w:ascii="宋体" w:hAnsi="宋体" w:eastAsia="宋体" w:cs="宋体"/>
                <w:color w:val="auto"/>
                <w:sz w:val="24"/>
                <w:szCs w:val="24"/>
                <w:highlight w:val="none"/>
              </w:rPr>
              <w:t>，不准占用车厢空间。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控制器</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采用厂家自主研发成熟</w:t>
            </w:r>
            <w:r>
              <w:rPr>
                <w:rFonts w:hint="eastAsia" w:ascii="宋体" w:hAnsi="宋体" w:eastAsia="宋体" w:cs="宋体"/>
                <w:color w:val="auto"/>
                <w:sz w:val="24"/>
                <w:szCs w:val="24"/>
                <w:highlight w:val="none"/>
              </w:rPr>
              <w:t>整车</w:t>
            </w:r>
            <w:r>
              <w:rPr>
                <w:rFonts w:hint="eastAsia" w:ascii="宋体" w:hAnsi="宋体" w:eastAsia="宋体" w:cs="宋体"/>
                <w:color w:val="auto"/>
                <w:sz w:val="24"/>
                <w:szCs w:val="24"/>
                <w:highlight w:val="none"/>
                <w:lang w:val="zh-CN"/>
              </w:rPr>
              <w:t>集成</w:t>
            </w:r>
            <w:r>
              <w:rPr>
                <w:rFonts w:hint="eastAsia" w:ascii="宋体" w:hAnsi="宋体" w:eastAsia="宋体" w:cs="宋体"/>
                <w:color w:val="auto"/>
                <w:sz w:val="24"/>
                <w:szCs w:val="24"/>
                <w:highlight w:val="none"/>
              </w:rPr>
              <w:t>控制器，安装位置紧凑，线路走向清晰，布局合理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防护等级均达到IP67（提供第三方检测报告）</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远程运营监控平台</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具备远程运营监控管理功能，实现车辆实时位置、故障、能耗监控查询，故障信息可通过电脑远程显示；厂家提供授权并承担相应费用，保证招标人能正常使用远程运营监控管理功能。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8.5</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电度表</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电池BMS已集成有记录电耗功能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★动力电池舱及电器设备舱</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电池舱壁使用气凝胶防火材料（提供实车照片和国家相关部门的检测报告为准），电池舱布局合理，安装位置满足涉水深度要求，检修方便，</w:t>
            </w:r>
            <w:r>
              <w:rPr>
                <w:rFonts w:hint="eastAsia" w:ascii="宋体" w:hAnsi="宋体" w:eastAsia="宋体" w:cs="宋体"/>
                <w:color w:val="auto"/>
                <w:sz w:val="24"/>
                <w:szCs w:val="24"/>
                <w:highlight w:val="none"/>
                <w:lang w:eastAsia="zh-CN"/>
              </w:rPr>
              <w:t>安装</w:t>
            </w:r>
            <w:r>
              <w:rPr>
                <w:rFonts w:hint="eastAsia" w:ascii="宋体" w:hAnsi="宋体" w:eastAsia="宋体" w:cs="宋体"/>
                <w:color w:val="auto"/>
                <w:sz w:val="24"/>
                <w:szCs w:val="24"/>
                <w:highlight w:val="none"/>
              </w:rPr>
              <w:t>锂电池舱专用灭火装置，</w:t>
            </w:r>
            <w:r>
              <w:rPr>
                <w:rFonts w:hint="eastAsia" w:ascii="宋体" w:hAnsi="宋体" w:eastAsia="宋体" w:cs="宋体"/>
                <w:color w:val="auto"/>
                <w:sz w:val="24"/>
                <w:szCs w:val="24"/>
                <w:highlight w:val="none"/>
                <w:lang w:eastAsia="zh-CN"/>
              </w:rPr>
              <w:t>质保</w:t>
            </w:r>
            <w:r>
              <w:rPr>
                <w:rFonts w:hint="eastAsia" w:ascii="宋体" w:hAnsi="宋体" w:eastAsia="宋体" w:cs="宋体"/>
                <w:color w:val="auto"/>
                <w:sz w:val="24"/>
                <w:szCs w:val="24"/>
                <w:highlight w:val="none"/>
                <w:lang w:val="en-US" w:eastAsia="zh-CN"/>
              </w:rPr>
              <w:t>8年，质保期内无偿定期检测确保有效，如</w:t>
            </w:r>
            <w:r>
              <w:rPr>
                <w:rFonts w:hint="eastAsia" w:ascii="宋体" w:hAnsi="宋体" w:eastAsia="宋体" w:cs="宋体"/>
                <w:color w:val="auto"/>
                <w:sz w:val="24"/>
                <w:szCs w:val="24"/>
                <w:highlight w:val="none"/>
              </w:rPr>
              <w:t>因装用不合格的锂电池舱专用灭火装置引起的各种损失及责任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由中标车厂承担。加装良好的隔热、隔振、降噪音材料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安全性达到JT/T1240-2019标准,动力电池具有防碰撞保护装置，确保电池舱发生碰撞后，不会引起车辆起火燃烧或爆炸，不会对人身造成伤害，否则中标方应承担全部的经济和法律责任</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车辆电器后舱布局合理，安装位置满足涉水深度要求，检修方便，需配自动灭火装置，后舱车厢底板应加装良好的隔热、隔振、降噪音、阻燃材料，通风良好，有利于散热。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8.7</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▲充电接口</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充电接应口符合国家标准要求，并与招标方已有充电桩相配套；</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动力系统应设计为充电枪未拔出前不能起步功能，同时具备拔枪时灭弧功能；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400" w:lineRule="exact"/>
              <w:jc w:val="left"/>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充放电多重安全监测报警保护，杜绝过充过放，发生意外情况主动切断高压。</w:t>
            </w:r>
            <w:r>
              <w:rPr>
                <w:rFonts w:hint="eastAsia" w:ascii="宋体" w:hAnsi="宋体" w:eastAsia="宋体" w:cs="宋体"/>
                <w:b w:val="0"/>
                <w:bCs/>
                <w:color w:val="auto"/>
                <w:sz w:val="24"/>
                <w:szCs w:val="24"/>
                <w:highlight w:val="none"/>
              </w:rPr>
              <w:t>充电接口应有防水流设置，</w:t>
            </w:r>
            <w:r>
              <w:rPr>
                <w:rFonts w:hint="eastAsia" w:ascii="宋体" w:hAnsi="宋体" w:eastAsia="宋体" w:cs="宋体"/>
                <w:b w:val="0"/>
                <w:color w:val="auto"/>
                <w:sz w:val="24"/>
                <w:szCs w:val="24"/>
                <w:highlight w:val="none"/>
              </w:rPr>
              <w:t>充电口外车身小门应有锁止机构。充电接口应有明显标志标示，防止人员误操作。</w:t>
            </w:r>
            <w:r>
              <w:rPr>
                <w:rFonts w:hint="eastAsia" w:ascii="宋体" w:hAnsi="宋体" w:eastAsia="宋体" w:cs="宋体"/>
                <w:b w:val="0"/>
                <w:bCs/>
                <w:color w:val="auto"/>
                <w:sz w:val="24"/>
                <w:szCs w:val="24"/>
                <w:highlight w:val="none"/>
              </w:rPr>
              <w:t>充电时，电源总开关应能关闭，确保安全。</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冷却系统</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安装ATS智能温控冷却系统，膨胀水箱位置安装合理，加液方便；冷却液散热器、循环水泵安装具备防尘防泥水的独立仓室，冷却液循环电机采用大流量、低转速、低噪音温控变速电机；冷却液散热器采用吸气散热，风机转速由温控系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10</w:t>
            </w:r>
          </w:p>
        </w:tc>
        <w:tc>
          <w:tcPr>
            <w:tcW w:w="100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底盘系统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底盘结构</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封闭环式车身，整个车身参与载荷，上下部结构形成一体，在承受载荷时，整个车身壳体达到稳定平衡状态。车底骨架焊接处</w:t>
            </w:r>
            <w:r>
              <w:rPr>
                <w:rFonts w:hint="eastAsia" w:ascii="宋体" w:hAnsi="宋体" w:eastAsia="宋体" w:cs="宋体"/>
                <w:b w:val="0"/>
                <w:bCs w:val="0"/>
                <w:color w:val="auto"/>
                <w:sz w:val="24"/>
                <w:szCs w:val="24"/>
                <w:highlight w:val="none"/>
              </w:rPr>
              <w:t>应有两次防腐处理，下表面应防石击涂漆处理。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电驱空气压缩机</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要求无油活塞、进口机头，IP67防护等级认证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EMC电磁干扰认证，轻量环保静音，符合车辆营运要求，质保8年。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10.3</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转向电动泵</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电动转向油泵，</w:t>
            </w:r>
            <w:r>
              <w:rPr>
                <w:rFonts w:hint="eastAsia" w:ascii="宋体" w:hAnsi="宋体" w:eastAsia="宋体" w:cs="宋体"/>
                <w:color w:val="auto"/>
                <w:sz w:val="24"/>
                <w:szCs w:val="24"/>
                <w:highlight w:val="none"/>
                <w:lang w:val="zh-CN"/>
              </w:rPr>
              <w:t>可根据车辆行驶技术要求自动调节油压，</w:t>
            </w:r>
            <w:r>
              <w:rPr>
                <w:rFonts w:hint="eastAsia" w:ascii="宋体" w:hAnsi="宋体" w:eastAsia="宋体" w:cs="宋体"/>
                <w:color w:val="auto"/>
                <w:sz w:val="24"/>
                <w:szCs w:val="24"/>
                <w:highlight w:val="none"/>
              </w:rPr>
              <w:t>液压助力泵</w:t>
            </w:r>
            <w:r>
              <w:rPr>
                <w:rFonts w:hint="eastAsia" w:ascii="宋体" w:hAnsi="宋体" w:eastAsia="宋体" w:cs="宋体"/>
                <w:color w:val="auto"/>
                <w:sz w:val="24"/>
                <w:szCs w:val="24"/>
                <w:highlight w:val="none"/>
                <w:lang w:val="zh-CN"/>
              </w:rPr>
              <w:t>电机根据车辆运行工况具备高低压转速可变，车速</w:t>
            </w:r>
            <w:r>
              <w:rPr>
                <w:rFonts w:hint="eastAsia" w:ascii="宋体" w:hAnsi="宋体" w:eastAsia="宋体" w:cs="宋体"/>
                <w:color w:val="auto"/>
                <w:sz w:val="24"/>
                <w:szCs w:val="24"/>
                <w:highlight w:val="none"/>
              </w:rPr>
              <w:t>≤3公里/小时</w:t>
            </w:r>
            <w:r>
              <w:rPr>
                <w:rFonts w:hint="eastAsia" w:ascii="宋体" w:hAnsi="宋体" w:eastAsia="宋体" w:cs="宋体"/>
                <w:color w:val="auto"/>
                <w:sz w:val="24"/>
                <w:szCs w:val="24"/>
                <w:highlight w:val="none"/>
                <w:lang w:val="zh-CN"/>
              </w:rPr>
              <w:t>电动助力泵</w:t>
            </w:r>
            <w:r>
              <w:rPr>
                <w:rFonts w:hint="eastAsia" w:ascii="宋体" w:hAnsi="宋体" w:eastAsia="宋体" w:cs="宋体"/>
                <w:color w:val="auto"/>
                <w:sz w:val="24"/>
                <w:szCs w:val="24"/>
                <w:highlight w:val="none"/>
              </w:rPr>
              <w:t>无噪音、</w:t>
            </w:r>
            <w:r>
              <w:rPr>
                <w:rFonts w:hint="eastAsia" w:ascii="宋体" w:hAnsi="宋体" w:eastAsia="宋体" w:cs="宋体"/>
                <w:color w:val="auto"/>
                <w:sz w:val="24"/>
                <w:szCs w:val="24"/>
                <w:highlight w:val="none"/>
                <w:lang w:val="zh-CN"/>
              </w:rPr>
              <w:t>无振动功能，</w:t>
            </w:r>
            <w:r>
              <w:rPr>
                <w:rFonts w:hint="eastAsia" w:ascii="宋体" w:hAnsi="宋体" w:eastAsia="宋体" w:cs="宋体"/>
                <w:color w:val="auto"/>
                <w:sz w:val="24"/>
                <w:szCs w:val="24"/>
                <w:highlight w:val="none"/>
              </w:rPr>
              <w:t>电机位置满足涉水深度要求，电机防护等级【IP65】及以上。安装具备防尘防泥水的独立仓室</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转向器</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整体式动力转向机系统，配电动转向助力泵系统。贮油罐进、出输油管采用增强胶管和不锈钢卡箍固定连接，确保不泄露。进、出输油管和贮油罐等各部位采用固定攀连接固定，固定间距不大于300mm，不得与客车电器和电线以及客车其他零部件发生碰擦，并避开消声器和空压机出气管等，确保连接固定安全可靠。如遇液压助力</w:t>
            </w:r>
            <w:r>
              <w:rPr>
                <w:rFonts w:hint="eastAsia" w:ascii="宋体" w:hAnsi="宋体" w:eastAsia="宋体" w:cs="宋体"/>
                <w:color w:val="auto"/>
                <w:sz w:val="24"/>
                <w:szCs w:val="24"/>
                <w:highlight w:val="none"/>
                <w:lang w:val="zh-CN"/>
              </w:rPr>
              <w:t>失效时转向正常，</w:t>
            </w:r>
            <w:r>
              <w:rPr>
                <w:rFonts w:hint="eastAsia" w:ascii="宋体" w:hAnsi="宋体" w:eastAsia="宋体" w:cs="宋体"/>
                <w:color w:val="auto"/>
                <w:sz w:val="24"/>
                <w:szCs w:val="24"/>
                <w:highlight w:val="none"/>
              </w:rPr>
              <w:t>方向盘前后上下可调</w:t>
            </w:r>
            <w:r>
              <w:rPr>
                <w:rFonts w:hint="eastAsia" w:ascii="宋体" w:hAnsi="宋体" w:eastAsia="宋体" w:cs="宋体"/>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传动轴</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最大承载扭矩必须满足城市公交运营线路实际超载运行的特殊要求。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10.6</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前后桥</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前后桥优选主流高端车桥、差速器采用纯电公交车专用差速器。</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前桥额定载荷≥3.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T，后桥额定载荷≥</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T；免维护专用车桥，整体锻钢件；新能源汽车专用双向精磨齿主减速器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主锥加强、精磨齿、低噪音，符合公交客车使用要求；</w:t>
            </w:r>
            <w:r>
              <w:rPr>
                <w:rFonts w:hint="eastAsia" w:ascii="宋体" w:hAnsi="宋体" w:cs="宋体"/>
                <w:color w:val="auto"/>
                <w:sz w:val="24"/>
                <w:szCs w:val="24"/>
                <w:highlight w:val="none"/>
                <w:lang w:eastAsia="zh-CN"/>
              </w:rPr>
              <w:t>脂润滑</w:t>
            </w:r>
            <w:r>
              <w:rPr>
                <w:rFonts w:hint="eastAsia" w:ascii="宋体" w:hAnsi="宋体" w:eastAsia="宋体" w:cs="宋体"/>
                <w:color w:val="auto"/>
                <w:sz w:val="24"/>
                <w:szCs w:val="24"/>
                <w:highlight w:val="none"/>
              </w:rPr>
              <w:t>加强型免维护轮毂质保八年</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悬架系统</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气囊悬挂</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少片弹簧减震，弹簧片之间装配橡胶降噪片，布置合理，减震器配装双向作用固定螺母纵向锁紧，设有稳定杆平衡</w:t>
            </w:r>
            <w:r>
              <w:rPr>
                <w:rFonts w:hint="eastAsia" w:ascii="宋体" w:hAnsi="宋体" w:eastAsia="宋体" w:cs="宋体"/>
                <w:b w:val="0"/>
                <w:bCs w:val="0"/>
                <w:color w:val="auto"/>
                <w:sz w:val="24"/>
                <w:szCs w:val="24"/>
                <w:highlight w:val="none"/>
              </w:rPr>
              <w:t>机构。</w:t>
            </w:r>
            <w:r>
              <w:rPr>
                <w:rFonts w:hint="eastAsia" w:ascii="宋体" w:hAnsi="宋体" w:eastAsia="宋体" w:cs="宋体"/>
                <w:b w:val="0"/>
                <w:bCs w:val="0"/>
                <w:color w:val="auto"/>
                <w:sz w:val="24"/>
                <w:szCs w:val="24"/>
                <w:highlight w:val="none"/>
                <w:lang w:eastAsia="zh-CN"/>
              </w:rPr>
              <w:t>优选气囊悬挂。并</w:t>
            </w:r>
            <w:r>
              <w:rPr>
                <w:rFonts w:hint="eastAsia" w:ascii="宋体" w:hAnsi="宋体" w:eastAsia="宋体" w:cs="宋体"/>
                <w:b w:val="0"/>
                <w:bCs w:val="0"/>
                <w:color w:val="auto"/>
                <w:sz w:val="24"/>
                <w:szCs w:val="24"/>
                <w:highlight w:val="none"/>
              </w:rPr>
              <w:t>保证车辆前轮定位准确，无摆头和吃胎现象。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制动系统</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采用双回路行车制动、制动时具备电动缓速、能量回收功能。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前后盘式</w:t>
            </w:r>
            <w:r>
              <w:rPr>
                <w:rFonts w:hint="eastAsia" w:ascii="宋体" w:hAnsi="宋体" w:eastAsia="宋体" w:cs="宋体"/>
                <w:color w:val="auto"/>
                <w:sz w:val="24"/>
                <w:szCs w:val="24"/>
                <w:highlight w:val="none"/>
              </w:rPr>
              <w:t>制动，制动间隙自动调整，配备ABS防抱死功能，优选</w:t>
            </w:r>
            <w:r>
              <w:rPr>
                <w:rFonts w:hint="eastAsia" w:ascii="宋体" w:hAnsi="宋体" w:eastAsia="宋体" w:cs="宋体"/>
                <w:color w:val="auto"/>
                <w:sz w:val="24"/>
                <w:szCs w:val="24"/>
                <w:highlight w:val="none"/>
                <w:lang w:val="en-US" w:eastAsia="zh-CN"/>
              </w:rPr>
              <w:t>高质量</w:t>
            </w:r>
            <w:r>
              <w:rPr>
                <w:rFonts w:hint="eastAsia" w:ascii="宋体" w:hAnsi="宋体" w:eastAsia="宋体" w:cs="宋体"/>
                <w:color w:val="auto"/>
                <w:sz w:val="24"/>
                <w:szCs w:val="24"/>
                <w:highlight w:val="none"/>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制动管路系统按标准进行保压泄漏试验，管路排列整齐，固定支架牢固(固定间距不大于600mm)</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管路与高温、旋转部件保持安全距离或作重点防护，穿越洞孔、电池仓等隐蔽部位，加装阻燃绝缘套管缝隙填充减震胶可靠固定（用图说明），电线束和油气水管分列敷设布置</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起步制动保护，设声光报警，报警蜂鸣声与其它报警声响有明显区分</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四回路保护阀</w:t>
            </w:r>
            <w:r>
              <w:rPr>
                <w:rFonts w:hint="eastAsia" w:ascii="宋体" w:hAnsi="宋体" w:eastAsia="宋体" w:cs="宋体"/>
                <w:color w:val="auto"/>
                <w:sz w:val="24"/>
                <w:szCs w:val="24"/>
                <w:highlight w:val="none"/>
                <w:lang w:eastAsia="zh-CN"/>
              </w:rPr>
              <w:t>、空气干燥器等气阀部件</w:t>
            </w:r>
            <w:r>
              <w:rPr>
                <w:rFonts w:hint="eastAsia" w:ascii="宋体" w:hAnsi="宋体" w:eastAsia="宋体" w:cs="宋体"/>
                <w:color w:val="auto"/>
                <w:sz w:val="24"/>
                <w:szCs w:val="24"/>
                <w:highlight w:val="none"/>
              </w:rPr>
              <w:t>优选高端产品。</w:t>
            </w:r>
            <w:r>
              <w:rPr>
                <w:rFonts w:hint="eastAsia" w:ascii="宋体" w:hAnsi="宋体" w:eastAsia="宋体" w:cs="宋体"/>
                <w:color w:val="auto"/>
                <w:sz w:val="24"/>
                <w:szCs w:val="24"/>
                <w:highlight w:val="none"/>
                <w:lang w:eastAsia="zh-CN"/>
              </w:rPr>
              <w:t>安装自动排水阀，位置合理、检修方便。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制动踏板与水平面的夹角不能过大，符合人机工程要求，便于驾驶员操作及维修方便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驻车制动</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作用于后轮，</w:t>
            </w: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rPr>
              <w:t>手制动装置在驾驶员易操作的部位。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自锁螺母</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振动部位采用施必牢自锁螺母紧固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集中供油润滑装置</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ECU微电脑程序控制，液晶动态显示，具备智能故障诊断显示功能，适用润滑点数量≤60，底盘中央集中润滑系统要求符合QC/T 696-2011《汽车底盘集中润滑供油系统》。符合国家或相关行业标准，产品质保8年；车辆制造厂家或配套厂家承诺，并附承诺书；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r>
              <w:rPr>
                <w:rFonts w:hint="eastAsia" w:ascii="宋体" w:hAnsi="宋体" w:cs="宋体"/>
                <w:color w:val="auto"/>
                <w:sz w:val="24"/>
                <w:szCs w:val="24"/>
                <w:highlight w:val="none"/>
                <w:lang w:val="en-US" w:eastAsia="zh-CN"/>
              </w:rPr>
              <w:t>.1</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轮胎及轮辋</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优选高质量子午线真空胎或按厂家标配的国内一线子午线真空胎</w:t>
            </w:r>
            <w:r>
              <w:rPr>
                <w:rFonts w:hint="eastAsia" w:ascii="宋体" w:hAnsi="宋体" w:eastAsia="宋体" w:cs="宋体"/>
                <w:b w:val="0"/>
                <w:bCs w:val="0"/>
                <w:color w:val="auto"/>
                <w:sz w:val="24"/>
                <w:szCs w:val="24"/>
                <w:highlight w:val="none"/>
              </w:rPr>
              <w:t>；锻造铝合金轮辋</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带国产或进口优质胎压检测系统或胎压报警装置，并能通过仪表台向驾驶员显示相关信息，每辆客车配带同类规格型号</w:t>
            </w:r>
            <w:r>
              <w:rPr>
                <w:rFonts w:hint="eastAsia" w:ascii="宋体" w:hAnsi="宋体" w:eastAsia="宋体" w:cs="宋体"/>
                <w:b w:val="0"/>
                <w:bCs w:val="0"/>
                <w:color w:val="auto"/>
                <w:sz w:val="24"/>
                <w:szCs w:val="24"/>
                <w:highlight w:val="none"/>
                <w:lang w:eastAsia="zh-CN"/>
              </w:rPr>
              <w:t>含轮辋</w:t>
            </w:r>
            <w:r>
              <w:rPr>
                <w:rFonts w:hint="eastAsia" w:ascii="宋体" w:hAnsi="宋体" w:eastAsia="宋体" w:cs="宋体"/>
                <w:b w:val="0"/>
                <w:bCs w:val="0"/>
                <w:color w:val="auto"/>
                <w:sz w:val="24"/>
                <w:szCs w:val="24"/>
                <w:highlight w:val="none"/>
              </w:rPr>
              <w:t>的备胎1只。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16.2</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胎压监测</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1、本胎压监测是通过CAN总线模块对接车载仪表进行显示及报警提示，</w:t>
            </w:r>
            <w:r>
              <w:rPr>
                <w:rFonts w:hint="eastAsia" w:ascii="宋体" w:hAnsi="宋体" w:eastAsia="宋体" w:cs="宋体"/>
                <w:color w:val="auto"/>
                <w:sz w:val="24"/>
                <w:szCs w:val="24"/>
                <w:highlight w:val="none"/>
              </w:rPr>
              <w:t>向智能调度系统</w:t>
            </w:r>
            <w:r>
              <w:rPr>
                <w:rFonts w:hint="eastAsia" w:ascii="宋体" w:hAnsi="宋体" w:eastAsia="宋体" w:cs="宋体"/>
                <w:color w:val="auto"/>
                <w:sz w:val="24"/>
                <w:szCs w:val="24"/>
                <w:highlight w:val="none"/>
                <w:lang w:val="en-US" w:eastAsia="zh-CN"/>
              </w:rPr>
              <w:t>提供相关信息</w:t>
            </w:r>
            <w:r>
              <w:rPr>
                <w:rFonts w:hint="eastAsia" w:ascii="宋体" w:hAnsi="宋体" w:cs="宋体"/>
                <w:color w:val="auto"/>
                <w:sz w:val="24"/>
                <w:szCs w:val="24"/>
                <w:highlight w:val="none"/>
                <w:lang w:val="en-US" w:eastAsia="zh-CN"/>
              </w:rPr>
              <w:t>。</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2、具有低压、高压、高温、泄露和系统故障等多项预警功能，具有闪烁、声音等多种报警功能，提高报警效果。</w:t>
            </w:r>
          </w:p>
          <w:p>
            <w:pPr>
              <w:numPr>
                <w:ilvl w:val="0"/>
                <w:numId w:val="0"/>
              </w:numP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3、车载仪表显示，所有轮胎同时显示并显示压力值的变化，压力和温度同显，实时</w:t>
            </w:r>
            <w:r>
              <w:rPr>
                <w:rFonts w:hint="eastAsia" w:ascii="宋体" w:hAnsi="宋体" w:cs="宋体"/>
                <w:color w:val="auto"/>
                <w:sz w:val="24"/>
                <w:szCs w:val="24"/>
                <w:highlight w:val="none"/>
                <w:lang w:val="en-US" w:eastAsia="zh-CN"/>
              </w:rPr>
              <w:t>更新。</w:t>
            </w:r>
          </w:p>
          <w:p>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4、具备轮胎互换功能；可实现传感器自动学习、匹配</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与车辆CAN系统连接，有效实现数据传输，传感器使用环境最高温度不低于125℃ </w:t>
            </w: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电器线束</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整车线束按厂家标配，线束标记、布置，与整车线路图符合</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车采用优质CAN总线系统，整车CAN总线控制系统（三级）集成客车电机、电机驱动系统（含电源）、制动系统、电池设备仓散热系统、ABS、灯光、雨刷、车门、车载电子设备、空调与暖风装置等全部总成部件，具有状态显示、故障预警、故障判断、电耗与里程记录、故障记录、短路与过载保护等功能；配置电耗与里程以及故障信息等数据下载和传输接口。所有电器接插件采用进口AMP电线电器接插件（底盘部分为防水型）。线束布置整齐，走向合理，防护良好，固定可靠，不得坠挂和车辆运动中碰擦其他零部件或因抖动出现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尽可能减少高压连接点，</w:t>
            </w:r>
            <w:r>
              <w:rPr>
                <w:rFonts w:hint="eastAsia" w:ascii="宋体" w:hAnsi="宋体" w:eastAsia="宋体" w:cs="宋体"/>
                <w:color w:val="auto"/>
                <w:sz w:val="24"/>
                <w:szCs w:val="24"/>
                <w:highlight w:val="none"/>
              </w:rPr>
              <w:t>高压线接头的螺栓用热敏（阻燃）材料防护到位,所有裸露的高压接头采用热敏材料热塑密封</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高压线固定间距标准300-500mm，高低压线束分开布置，不能以金属包箍固定导线，穿过骨架、大梁必须加装可靠的绝缘防磨损护套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隐蔽部位电线束加装阻燃绝缘套管并可靠固定，线束长度留有一定的余量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线束固定牢固标记清晰，走向合理安装规范，整根线束不得拼接，线束每隔300 mm安装固定扣攀。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电器接头牢固并有绝缘护套，所有电线接插件采用AMP产品（底盘部分防水型）。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单独在安装一套部标标准行车记录仪，带可打印行车记录仪；大屏幕中文显示，进口或国产模块；具故障自检、预报、行驶速度超40KM 语音自动报警提示；具有通讯、过载过流短路保护。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采用全芯片数字配电管理模块，包括大电流电源管理模块和中电流电源管理模块。低压配电系统取消所有保险片和继电器。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总线控制模块舱必须满足防震、防水、防尘、防静电的要求，电器线路采用镀锡铜线，预留部分备用线路或接线柱，并且接线柱或接插件前端装有保险装置，满足增加用电器的需求</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1、刷卡机、GPS系统、车载监控系统电源线采用双线制；要求电源从主配电板单独接入，安装单独保险，有专用接</w:t>
            </w:r>
            <w:r>
              <w:rPr>
                <w:rFonts w:hint="eastAsia" w:ascii="宋体" w:hAnsi="宋体" w:eastAsia="宋体" w:cs="宋体"/>
                <w:b w:val="0"/>
                <w:bCs w:val="0"/>
                <w:color w:val="auto"/>
                <w:sz w:val="24"/>
                <w:szCs w:val="24"/>
                <w:highlight w:val="none"/>
              </w:rPr>
              <w:t>地线，电源线为车辆总闸开启电源打开，长通电。</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2、电喇叭为</w:t>
            </w:r>
            <w:r>
              <w:rPr>
                <w:rFonts w:hint="eastAsia" w:ascii="宋体" w:hAnsi="宋体" w:eastAsia="宋体" w:cs="宋体"/>
                <w:color w:val="auto"/>
                <w:sz w:val="24"/>
                <w:szCs w:val="24"/>
                <w:highlight w:val="none"/>
                <w:lang w:eastAsia="zh-CN"/>
              </w:rPr>
              <w:t>双音</w:t>
            </w:r>
            <w:r>
              <w:rPr>
                <w:rFonts w:hint="eastAsia" w:ascii="宋体" w:hAnsi="宋体" w:eastAsia="宋体" w:cs="宋体"/>
                <w:color w:val="auto"/>
                <w:sz w:val="24"/>
                <w:szCs w:val="24"/>
                <w:highlight w:val="none"/>
              </w:rPr>
              <w:t>蜗牛式</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6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灯具与开关</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大灯罩</w:t>
            </w:r>
            <w:r>
              <w:rPr>
                <w:rFonts w:hint="eastAsia" w:ascii="宋体" w:hAnsi="宋体" w:eastAsia="宋体" w:cs="宋体"/>
                <w:color w:val="auto"/>
                <w:sz w:val="24"/>
                <w:szCs w:val="24"/>
                <w:highlight w:val="none"/>
                <w:lang w:eastAsia="zh-CN"/>
              </w:rPr>
              <w:t>保证</w:t>
            </w:r>
            <w:r>
              <w:rPr>
                <w:rFonts w:hint="eastAsia" w:ascii="宋体" w:hAnsi="宋体" w:eastAsia="宋体" w:cs="宋体"/>
                <w:color w:val="auto"/>
                <w:sz w:val="24"/>
                <w:szCs w:val="24"/>
                <w:highlight w:val="none"/>
              </w:rPr>
              <w:t>6年内不变色、龟裂，大灯亮度必须符合雨天夜间行车照明要求，前照灯角度可调，室内采用LED照明灯，车厢内灯采用扁平弧形LED灯管，前后贯通，布置在空调风道内侧边缘</w:t>
            </w: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采用转向柱安装组合式开关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包括前照（大）灯、示宽（小）灯、转向灯、雨刮器、点火开关等控制开关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各类操纵开关安装和排列位置应方便驾驶员识别与操作；安装备用开关1-2个</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下客门上方中间部位安装一个门灯（小灯打开，开门时亮）</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蓄电池</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采用2只12V\</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Ah以上免维护蓄电池，蓄电池舱内电器件和线束固定牢固、排列整齐、安全可靠，蓄电池“+”或“-”级接柱连接线束加装过载断电保险装置。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蓄电池舱内电器件和线束固定牢固、排列整齐、安全可靠</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车身漆色图案</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车身油漆采用环保汽车专用漆；漆色图案按买方要求配色喷涂，厂家提供多套漆色设计图案，供使用方选择。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车身结构与车身型材</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全承载车身（须提供相关证明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、轻量化设计，一级踏步高度≤380mm。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车身骨架整体强度满足公交客车运行寿命及高峰超载的要求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车身蒙皮采用辊压涨拉蒙皮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整车（包括车身主要覆盖件、骨架、底盘车架、前后围）经阴极电泳工艺处理。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整车使用防火阻燃材料，不得使用聚氨酯发泡。车顶棚骨架、侧围骨架使用防火隔热闭泡材料，车顶厚度不低于32mm；底盘、轮毂使用乙烯基隔声降噪材料或气凝胶防火材料；电池舱或发动机舱使用气凝胶防火材料。技术性能必须达到 GB38262-2019《汽车内饰材料燃烧特性》，防火等级A0级，内饰材料须提供国家认可机构报告。防火要求：车顶、侧围和电池舱防火阻燃材料氧指数≧39%，底盘隔音防火材料氧指数≧32%，</w:t>
            </w:r>
            <w:r>
              <w:rPr>
                <w:rFonts w:hint="eastAsia" w:ascii="宋体" w:hAnsi="宋体" w:eastAsia="宋体" w:cs="宋体"/>
                <w:color w:val="auto"/>
                <w:sz w:val="24"/>
                <w:szCs w:val="24"/>
                <w:highlight w:val="none"/>
              </w:rPr>
              <w:t>并提供国家认可的第三方报告为准</w:t>
            </w:r>
            <w:r>
              <w:rPr>
                <w:rFonts w:hint="eastAsia" w:ascii="宋体" w:hAnsi="宋体" w:eastAsia="宋体" w:cs="宋体"/>
                <w:color w:val="auto"/>
                <w:sz w:val="24"/>
                <w:szCs w:val="24"/>
                <w:highlight w:val="none"/>
                <w:lang w:val="en-US" w:eastAsia="zh-CN"/>
              </w:rPr>
              <w:t>。产品要求防潮、抗菌、防霉、无纤维，环保。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车顶骨架加密，车身骨架必须保证终生不断裂、不变形、不锈蚀、不腐烂；防止出现车顶漏（渗）水问题。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轮毂部位车身提供足够的强度以防止乘客受到爆胎的损伤，表层喷涂防腐、防水材料，防止出现轮毂部位漏（渗）水问题，前、后轮毂挡泥板橡胶皮离地15CM以内。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乘客可触及的车身内外部件、构件不应有尖角和锐边，车身外导水槽等不应有尖角和锐边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拖车钩与支车点</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车辆纵梁前部适当位置配伸缩式拖车钩，使用方便可靠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纵梁前部区域的各类管路、线束的布置应充分考虑拖车时的运动干涉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在前、后桥附近底部空间，应根据车架结构特点设置承重梁，在车身左右两侧设有多个支车点，并设支车点标志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前后围</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前后围采用薄钢板冲压成型或玻璃钢结构检修方便；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前后电子路牌窗透光区最小尺寸规格满</w:t>
            </w:r>
            <w:r>
              <w:rPr>
                <w:rFonts w:hint="eastAsia" w:ascii="宋体" w:hAnsi="宋体" w:eastAsia="宋体" w:cs="宋体"/>
                <w:b w:val="0"/>
                <w:bCs w:val="0"/>
                <w:color w:val="auto"/>
                <w:sz w:val="24"/>
                <w:szCs w:val="24"/>
                <w:highlight w:val="none"/>
              </w:rPr>
              <w:t>足配装7字以上汉字电子路牌结构需要，车内前后路牌检视窗盖板与车箱内饰板胶条隔垫，防止车辆</w:t>
            </w:r>
            <w:r>
              <w:rPr>
                <w:rFonts w:hint="eastAsia" w:ascii="宋体" w:hAnsi="宋体" w:eastAsia="宋体" w:cs="宋体"/>
                <w:color w:val="auto"/>
                <w:sz w:val="24"/>
                <w:szCs w:val="24"/>
                <w:highlight w:val="none"/>
              </w:rPr>
              <w:t>行驶产生振动噪音。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p>
        </w:tc>
        <w:tc>
          <w:tcPr>
            <w:tcW w:w="16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车厢</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前风窗为双层夹胶全景隔热玻璃，配卷缩式前风档遮阳帘；后风窗为钢化玻璃；均采用粘接式结构。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车边两侧单一扇独立玻璃设置一扇内藏粘贴式推拉窗，窗框底边、双定位槽固定（用图说明）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粘接处使用进口玻璃粘接胶、填缝胶、阻尼胶</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车门</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乘客门执行机构能够输出门状态信号（开门、关门状态信号功能要求），信号输入到车身CAN总线模块</w:t>
            </w:r>
            <w:r>
              <w:rPr>
                <w:rFonts w:hint="eastAsia" w:ascii="宋体" w:hAnsi="宋体" w:eastAsia="宋体" w:cs="宋体"/>
                <w:color w:val="auto"/>
                <w:sz w:val="24"/>
                <w:szCs w:val="24"/>
                <w:highlight w:val="none"/>
                <w:lang w:eastAsia="zh-CN"/>
              </w:rPr>
              <w:t>。</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折叠</w:t>
            </w:r>
            <w:r>
              <w:rPr>
                <w:rFonts w:hint="eastAsia" w:ascii="宋体" w:hAnsi="宋体" w:eastAsia="宋体" w:cs="宋体"/>
                <w:b w:val="0"/>
                <w:bCs w:val="0"/>
                <w:color w:val="auto"/>
                <w:sz w:val="24"/>
                <w:szCs w:val="24"/>
                <w:highlight w:val="none"/>
              </w:rPr>
              <w:t>式</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内摆臂或</w:t>
            </w:r>
            <w:r>
              <w:rPr>
                <w:rFonts w:hint="eastAsia" w:ascii="宋体" w:hAnsi="宋体" w:eastAsia="宋体" w:cs="宋体"/>
                <w:b w:val="0"/>
                <w:bCs w:val="0"/>
                <w:color w:val="auto"/>
                <w:sz w:val="24"/>
                <w:szCs w:val="24"/>
                <w:highlight w:val="none"/>
                <w:lang w:eastAsia="zh-CN"/>
              </w:rPr>
              <w:t>塞拉门</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rPr>
              <w:t>结构，</w:t>
            </w:r>
            <w:r>
              <w:rPr>
                <w:rFonts w:hint="eastAsia" w:ascii="宋体" w:hAnsi="宋体" w:eastAsia="宋体" w:cs="宋体"/>
                <w:color w:val="auto"/>
                <w:sz w:val="24"/>
                <w:szCs w:val="24"/>
                <w:highlight w:val="none"/>
              </w:rPr>
              <w:t>采用气动设内外应急阀，门玻为钢化玻璃带防护杆，乘客门关闭时应装有速度和缓冲调节装置，性能可靠、维护方便，门泵驱动系统采用电控气动方式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车门未关，车辆不能起步装置。</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乘客门分别标注“上客门”和“下客门”标识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车门内“紧急开门应急阀”装在驾驶区；前或中车门内外各1只，要求安装位置明显，“紧急开门应急阀”应设明显使用说明和标识</w:t>
            </w:r>
            <w:r>
              <w:rPr>
                <w:rFonts w:hint="eastAsia" w:ascii="宋体" w:hAnsi="宋体" w:eastAsia="宋体" w:cs="宋体"/>
                <w:color w:val="auto"/>
                <w:sz w:val="24"/>
                <w:szCs w:val="24"/>
                <w:highlight w:val="none"/>
                <w:lang w:eastAsia="zh-CN"/>
              </w:rPr>
              <w:t>。</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安装车速大于5km/h时车门无法打开的装置</w:t>
            </w:r>
            <w:r>
              <w:rPr>
                <w:rFonts w:hint="eastAsia" w:ascii="宋体" w:hAnsi="宋体" w:eastAsia="宋体" w:cs="宋体"/>
                <w:color w:val="auto"/>
                <w:sz w:val="24"/>
                <w:szCs w:val="24"/>
                <w:highlight w:val="none"/>
                <w:lang w:eastAsia="zh-CN"/>
              </w:rPr>
              <w:t>。</w:t>
            </w:r>
          </w:p>
          <w:p>
            <w:pPr>
              <w:pStyle w:val="18"/>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采用上下客双门结构，前门在前轮前，</w:t>
            </w:r>
            <w:r>
              <w:rPr>
                <w:rFonts w:hint="eastAsia"/>
                <w:b/>
                <w:bCs/>
                <w:color w:val="auto"/>
                <w:highlight w:val="none"/>
                <w:lang w:eastAsia="zh-CN"/>
              </w:rPr>
              <w:t>或者采用中门结构并配备安全门。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车门后有护栏板，乘客门踏步区域采用黄色踏步专用地板革，带红色“站立禁区”字样。</w:t>
            </w:r>
            <w:r>
              <w:rPr>
                <w:rFonts w:hint="eastAsia" w:ascii="宋体" w:hAnsi="宋体" w:cs="宋体"/>
                <w:color w:val="auto"/>
                <w:sz w:val="24"/>
                <w:szCs w:val="24"/>
                <w:highlight w:val="none"/>
                <w:lang w:val="en-US" w:eastAsia="zh-CN"/>
              </w:rPr>
              <w:t>上客门安装前门遥控方便驾驶员开门。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倒车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下客门监视图像</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交报站彩色显示屏可显示中门下客监视图像（公交报站彩色显示屏兼容，倒车摄像头安装位置合理易维修、易更换，建议安装在车尾部厢内）。下客门监视图像接入CAN总线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开启下客门开关时，显示下客门图像通过CAN总线接入公交彩色调度显示屏。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乘客座椅</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镁铝合金底梁及椅脚，尼龙玻纤或注塑座椅防滑带皮革软垫公交座椅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主体无骨架设计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轻量化、高强度高档耐磨皮革</w:t>
            </w:r>
            <w:r>
              <w:rPr>
                <w:rFonts w:hint="eastAsia" w:ascii="宋体" w:hAnsi="宋体" w:eastAsia="宋体" w:cs="宋体"/>
                <w:color w:val="auto"/>
                <w:sz w:val="24"/>
                <w:szCs w:val="24"/>
                <w:highlight w:val="none"/>
                <w:lang w:eastAsia="zh-CN"/>
              </w:rPr>
              <w:t>、靠背</w:t>
            </w:r>
            <w:r>
              <w:rPr>
                <w:rFonts w:hint="eastAsia" w:ascii="宋体" w:hAnsi="宋体" w:eastAsia="宋体" w:cs="宋体"/>
                <w:color w:val="auto"/>
                <w:sz w:val="24"/>
                <w:szCs w:val="24"/>
                <w:highlight w:val="none"/>
              </w:rPr>
              <w:t>与主体分体式设计可拆卸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符合人体工程设计座椅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座椅靠背与坐垫可快速拆卸更换软/硬座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坐垫宽度大于等于440MM,提供座椅正反面图片。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公交座椅数量、颜色、设爱心专座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式样及排列方式事先经买方确认，</w:t>
            </w:r>
            <w:r>
              <w:rPr>
                <w:rFonts w:hint="eastAsia" w:ascii="宋体" w:hAnsi="宋体" w:eastAsia="宋体" w:cs="宋体"/>
                <w:bCs/>
                <w:color w:val="auto"/>
                <w:sz w:val="24"/>
                <w:szCs w:val="24"/>
                <w:highlight w:val="none"/>
              </w:rPr>
              <w:t>终身质保（</w:t>
            </w:r>
            <w:r>
              <w:rPr>
                <w:rFonts w:hint="eastAsia" w:ascii="宋体" w:hAnsi="宋体" w:eastAsia="宋体" w:cs="宋体"/>
                <w:bCs/>
                <w:color w:val="auto"/>
                <w:sz w:val="24"/>
                <w:szCs w:val="24"/>
                <w:highlight w:val="none"/>
                <w:lang w:eastAsia="zh-CN"/>
              </w:rPr>
              <w:t>包软座皮革破损</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司机座椅</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司机椅（外表皮革包围）前后、上下、靠背角度、气囊减震可调；三点式安全带自动伸缩功能，坐垫宽度大于等于440MM</w:t>
            </w: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地板</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地板革：优选</w:t>
            </w:r>
            <w:r>
              <w:rPr>
                <w:rFonts w:hint="eastAsia" w:ascii="宋体" w:hAnsi="宋体" w:eastAsia="宋体" w:cs="宋体"/>
                <w:color w:val="auto"/>
                <w:sz w:val="24"/>
                <w:szCs w:val="24"/>
                <w:highlight w:val="none"/>
                <w:lang w:val="en-US" w:eastAsia="zh-CN"/>
              </w:rPr>
              <w:t>高质量</w:t>
            </w:r>
            <w:r>
              <w:rPr>
                <w:rFonts w:hint="eastAsia" w:ascii="宋体" w:hAnsi="宋体" w:eastAsia="宋体" w:cs="宋体"/>
                <w:color w:val="auto"/>
                <w:sz w:val="24"/>
                <w:szCs w:val="24"/>
                <w:highlight w:val="none"/>
              </w:rPr>
              <w:t>石英砂地板革产品，整车（车箱前、中、后）地板革铺垫延伸到侧围板向上50CM 或座椅底部(从地板向上计)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地板骨架加密平整，设有检修口和盖板，方便维修，PVC地板厚度大于等于18mm ,地板与底架之间涂装防震胶,</w:t>
            </w:r>
            <w:r>
              <w:rPr>
                <w:rFonts w:hint="eastAsia" w:ascii="宋体" w:hAnsi="宋体" w:eastAsia="宋体" w:cs="宋体"/>
                <w:color w:val="auto"/>
                <w:sz w:val="24"/>
                <w:szCs w:val="24"/>
                <w:highlight w:val="none"/>
              </w:rPr>
              <w:t>整体经有效</w:t>
            </w:r>
            <w:r>
              <w:rPr>
                <w:rFonts w:hint="eastAsia" w:ascii="宋体" w:hAnsi="宋体" w:eastAsia="宋体" w:cs="宋体"/>
                <w:color w:val="auto"/>
                <w:sz w:val="24"/>
                <w:szCs w:val="24"/>
                <w:highlight w:val="none"/>
                <w:lang w:eastAsia="zh-CN"/>
              </w:rPr>
              <w:t>阻燃、</w:t>
            </w:r>
            <w:r>
              <w:rPr>
                <w:rFonts w:hint="eastAsia" w:ascii="宋体" w:hAnsi="宋体" w:eastAsia="宋体" w:cs="宋体"/>
                <w:color w:val="auto"/>
                <w:sz w:val="24"/>
                <w:szCs w:val="24"/>
                <w:highlight w:val="none"/>
              </w:rPr>
              <w:t>隔热、降噪处理</w:t>
            </w:r>
            <w:r>
              <w:rPr>
                <w:rFonts w:hint="eastAsia" w:ascii="宋体" w:hAnsi="宋体" w:eastAsia="宋体" w:cs="宋体"/>
                <w:i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全景</w:t>
            </w:r>
            <w:r>
              <w:rPr>
                <w:rFonts w:hint="eastAsia" w:ascii="宋体" w:hAnsi="宋体" w:eastAsia="宋体" w:cs="宋体"/>
                <w:color w:val="auto"/>
                <w:sz w:val="24"/>
                <w:szCs w:val="24"/>
                <w:highlight w:val="none"/>
                <w:lang w:eastAsia="zh-CN"/>
              </w:rPr>
              <w:t>风道、</w:t>
            </w:r>
            <w:r>
              <w:rPr>
                <w:rFonts w:hint="eastAsia" w:ascii="宋体" w:hAnsi="宋体" w:eastAsia="宋体" w:cs="宋体"/>
                <w:color w:val="auto"/>
                <w:sz w:val="24"/>
                <w:szCs w:val="24"/>
                <w:highlight w:val="none"/>
              </w:rPr>
              <w:t>内饰</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rPr>
              <w:t>外翻式铝合金全景风道（广告灯箱内照明光源为LED灯），并经隔热和避震处理，安装牢固、接口平整无缝隙</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rPr>
              <w:t>冷风道不得与前、后路牌窗贯通，表面平整圆顺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iCs/>
                <w:color w:val="auto"/>
                <w:sz w:val="24"/>
                <w:szCs w:val="24"/>
                <w:highlight w:val="none"/>
              </w:rPr>
              <w:t>排水管布置合理，防止冷凝水排入车内</w:t>
            </w:r>
            <w:r>
              <w:rPr>
                <w:rFonts w:hint="eastAsia" w:ascii="宋体" w:hAnsi="宋体" w:eastAsia="宋体" w:cs="宋体"/>
                <w:i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内顶采用优质吸音塑板，侧围采用阻燃PVC深色双贴面板，固定铆钉间距加密（每排2个以上）防止振动，颜色与整个车厢环境相协调，表面光滑易清理</w:t>
            </w: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驾驶区、控制台</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整体式仪表台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仪表台固定底板全密封防止漏风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不得开裂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仪表台上仪表、开关、按钮、手台柄位置合理，便于操纵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应充分考虑满足配装电子报站器、车载监控、GPS车载机、IC卡车载机等布置要求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驾驶室设置符合国家最新标准</w:t>
            </w:r>
            <w:r>
              <w:rPr>
                <w:rFonts w:hint="eastAsia" w:ascii="宋体" w:hAnsi="宋体" w:eastAsia="宋体" w:cs="宋体"/>
                <w:color w:val="auto"/>
                <w:sz w:val="24"/>
                <w:szCs w:val="24"/>
                <w:highlight w:val="none"/>
                <w:lang w:eastAsia="zh-CN"/>
              </w:rPr>
              <w:t>司机包围</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后视镜</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（1）车辆外侧安装【左短右长杆式手动后视镜】，车辆行驶时不应有明显的抖动，视野清晰。颜色与车辆整体协调。</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（2）前顶右上角适当位置安装车内后视镜（大视角内视镜），便于驾驶员观察车厢内部。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司机窗</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为内藏粘贴式，玻璃框底边、侧边双定位槽固定，由前向后拉车窗，卷缩式下拉自锁式侧窗遮阳帘，窗外加设档水槽。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顶风窗</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安全顶窗具有应急出口功能，满足应急出口尺寸要求</w:t>
            </w:r>
            <w:r>
              <w:rPr>
                <w:rFonts w:hint="eastAsia" w:ascii="宋体" w:hAnsi="宋体" w:eastAsia="宋体" w:cs="宋体"/>
                <w:color w:val="auto"/>
                <w:sz w:val="24"/>
                <w:szCs w:val="24"/>
                <w:highlight w:val="none"/>
                <w:lang w:eastAsia="zh-CN"/>
              </w:rPr>
              <w:t>，带排风功能</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下车照明</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乘客门设台阶灯，开门后自动发亮。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扶栏、护板、吊环、USB充电</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整车采用高强度铝合金扶栏，扶手各连接部位的螺栓加装保护螺套</w:t>
            </w:r>
            <w:r>
              <w:rPr>
                <w:rFonts w:hint="eastAsia" w:ascii="宋体" w:hAnsi="宋体" w:eastAsia="宋体" w:cs="宋体"/>
                <w:color w:val="auto"/>
                <w:sz w:val="24"/>
                <w:szCs w:val="24"/>
                <w:highlight w:val="none"/>
                <w:lang w:val="en-US" w:eastAsia="zh-CN"/>
              </w:rPr>
              <w:t>,扶手关键部位采用软包处理，防止乘客磕碰</w:t>
            </w:r>
            <w:r>
              <w:rPr>
                <w:rFonts w:hint="eastAsia" w:ascii="宋体" w:hAnsi="宋体" w:eastAsia="宋体" w:cs="宋体"/>
                <w:color w:val="auto"/>
                <w:sz w:val="24"/>
                <w:szCs w:val="24"/>
                <w:highlight w:val="none"/>
              </w:rPr>
              <w:t>；上车门处加设一根铝合金杆用于安装IC刷卡机。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装广告型吊环（卡槽广告易更换），数量按标配。车厢两侧、仪表台安装USB插口。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侧窗帘</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蓝色垂直折叠式侧窗帘【涤纶材质】带搭扣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雨刮</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对刮双向卧倒式，带喷淋、快慢档装置,括刷面积满足驾驶员视野要求。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9</w:t>
            </w:r>
          </w:p>
        </w:tc>
        <w:tc>
          <w:tcPr>
            <w:tcW w:w="16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车内导乘屏</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线路显示牌</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车内</w:t>
            </w:r>
            <w:r>
              <w:rPr>
                <w:rFonts w:hint="eastAsia" w:ascii="宋体" w:hAnsi="宋体" w:eastAsia="宋体" w:cs="宋体"/>
                <w:color w:val="auto"/>
                <w:sz w:val="24"/>
                <w:szCs w:val="24"/>
                <w:highlight w:val="none"/>
                <w:lang w:val="en-US" w:eastAsia="zh-CN"/>
              </w:rPr>
              <w:t>LCD</w:t>
            </w:r>
            <w:r>
              <w:rPr>
                <w:rFonts w:hint="eastAsia" w:ascii="宋体" w:hAnsi="宋体" w:eastAsia="宋体" w:cs="宋体"/>
                <w:color w:val="auto"/>
                <w:sz w:val="24"/>
                <w:szCs w:val="24"/>
                <w:highlight w:val="none"/>
              </w:rPr>
              <w:t>显示屏（导乘屏）</w:t>
            </w:r>
            <w:r>
              <w:rPr>
                <w:rFonts w:hint="eastAsia" w:ascii="宋体" w:hAnsi="宋体" w:eastAsia="宋体" w:cs="宋体"/>
                <w:b w:val="0"/>
                <w:bCs w:val="0"/>
                <w:color w:val="auto"/>
                <w:sz w:val="24"/>
                <w:szCs w:val="24"/>
                <w:highlight w:val="none"/>
              </w:rPr>
              <w:t>32寸以上</w:t>
            </w:r>
            <w:r>
              <w:rPr>
                <w:rFonts w:hint="eastAsia" w:ascii="宋体" w:hAnsi="宋体" w:eastAsia="宋体" w:cs="宋体"/>
                <w:b w:val="0"/>
                <w:bCs w:val="0"/>
                <w:color w:val="auto"/>
                <w:sz w:val="24"/>
                <w:szCs w:val="24"/>
                <w:highlight w:val="none"/>
                <w:lang w:val="en-US" w:eastAsia="zh-CN"/>
              </w:rPr>
              <w:t>,安装在驾驶座后方，支持远程数据推送功能，与采购人提供的车载调度屏及车载终端调度一体机共享一张流量卡，</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采购人提供的调度屏</w:t>
            </w:r>
            <w:r>
              <w:rPr>
                <w:rFonts w:hint="eastAsia" w:ascii="宋体" w:hAnsi="宋体" w:eastAsia="宋体" w:cs="宋体"/>
                <w:color w:val="auto"/>
                <w:sz w:val="24"/>
                <w:szCs w:val="24"/>
                <w:highlight w:val="none"/>
              </w:rPr>
              <w:t>联动，</w:t>
            </w:r>
            <w:r>
              <w:rPr>
                <w:rFonts w:hint="eastAsia" w:ascii="宋体" w:hAnsi="宋体" w:eastAsia="宋体" w:cs="宋体"/>
                <w:color w:val="auto"/>
                <w:sz w:val="24"/>
                <w:szCs w:val="24"/>
                <w:highlight w:val="none"/>
                <w:lang w:eastAsia="zh-CN"/>
              </w:rPr>
              <w:t>可通过采购人当前使用的调度系统远程下发更改显示内容，</w:t>
            </w:r>
            <w:r>
              <w:rPr>
                <w:rFonts w:hint="eastAsia" w:ascii="宋体" w:hAnsi="宋体" w:eastAsia="宋体" w:cs="宋体"/>
                <w:color w:val="auto"/>
                <w:sz w:val="24"/>
                <w:szCs w:val="24"/>
                <w:highlight w:val="none"/>
              </w:rPr>
              <w:t>车内显示到站信息、广告服务用语，显示屏必须做好防护装置。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线路显示牌:前、</w:t>
            </w:r>
            <w:r>
              <w:rPr>
                <w:rFonts w:hint="eastAsia" w:ascii="宋体" w:hAnsi="宋体" w:eastAsia="宋体" w:cs="宋体"/>
                <w:color w:val="auto"/>
                <w:sz w:val="24"/>
                <w:szCs w:val="24"/>
                <w:highlight w:val="none"/>
                <w:lang w:eastAsia="zh-CN"/>
              </w:rPr>
              <w:t>腰、</w:t>
            </w:r>
            <w:r>
              <w:rPr>
                <w:rFonts w:hint="eastAsia" w:ascii="宋体" w:hAnsi="宋体" w:eastAsia="宋体" w:cs="宋体"/>
                <w:color w:val="auto"/>
                <w:sz w:val="24"/>
                <w:szCs w:val="24"/>
                <w:highlight w:val="none"/>
              </w:rPr>
              <w:t>后电子路牌全汉显</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个字，16*16点阵,亮度可调汉显路牌，与</w:t>
            </w:r>
            <w:r>
              <w:rPr>
                <w:rFonts w:hint="eastAsia" w:ascii="宋体" w:hAnsi="宋体" w:eastAsia="宋体" w:cs="宋体"/>
                <w:color w:val="auto"/>
                <w:sz w:val="24"/>
                <w:szCs w:val="24"/>
                <w:highlight w:val="none"/>
                <w:lang w:val="en-US" w:eastAsia="zh-CN"/>
              </w:rPr>
              <w:t>采购人提供的调度屏</w:t>
            </w:r>
            <w:r>
              <w:rPr>
                <w:rFonts w:hint="eastAsia" w:ascii="宋体" w:hAnsi="宋体" w:eastAsia="宋体" w:cs="宋体"/>
                <w:color w:val="auto"/>
                <w:sz w:val="24"/>
                <w:szCs w:val="24"/>
                <w:highlight w:val="none"/>
              </w:rPr>
              <w:t>联动，</w:t>
            </w:r>
            <w:r>
              <w:rPr>
                <w:rFonts w:hint="eastAsia" w:ascii="宋体" w:hAnsi="宋体" w:eastAsia="宋体" w:cs="宋体"/>
                <w:color w:val="auto"/>
                <w:sz w:val="24"/>
                <w:szCs w:val="24"/>
                <w:highlight w:val="none"/>
                <w:lang w:eastAsia="zh-CN"/>
              </w:rPr>
              <w:t>可通过采购人当前使用的调度系统远程下发更改显示内容，</w:t>
            </w:r>
            <w:r>
              <w:rPr>
                <w:rFonts w:hint="eastAsia" w:ascii="宋体" w:hAnsi="宋体" w:eastAsia="宋体" w:cs="宋体"/>
                <w:color w:val="auto"/>
                <w:sz w:val="24"/>
                <w:szCs w:val="24"/>
                <w:highlight w:val="none"/>
              </w:rPr>
              <w:t>均可显示显示线路、故障回场、停止营运等信息，尾牌含刹车、转弯、倒车提示功能</w:t>
            </w:r>
            <w:r>
              <w:rPr>
                <w:rFonts w:hint="eastAsia" w:ascii="宋体" w:hAnsi="宋体" w:eastAsia="宋体" w:cs="宋体"/>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智慧公交设施安装</w:t>
            </w:r>
          </w:p>
        </w:tc>
        <w:tc>
          <w:tcPr>
            <w:tcW w:w="8378"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根据采购人提供的车载终端调度一体机、7寸LCD彩色调度屏等进行线路布置、安装等工作，终端一体机安装在驾驶座后工具箱内，GPS天线安装A柱上，要求易检修、易更换，</w:t>
            </w:r>
            <w:r>
              <w:rPr>
                <w:rFonts w:hint="eastAsia" w:ascii="宋体" w:hAnsi="宋体" w:eastAsia="宋体" w:cs="宋体"/>
                <w:b w:val="0"/>
                <w:bCs w:val="0"/>
                <w:color w:val="auto"/>
                <w:sz w:val="24"/>
                <w:szCs w:val="24"/>
                <w:highlight w:val="none"/>
              </w:rPr>
              <w:t>调度屏安装方式为嵌入式，能够实现中门开门显示</w:t>
            </w:r>
            <w:r>
              <w:rPr>
                <w:rFonts w:hint="eastAsia" w:ascii="宋体" w:hAnsi="宋体" w:eastAsia="宋体" w:cs="宋体"/>
                <w:color w:val="auto"/>
                <w:sz w:val="24"/>
                <w:szCs w:val="24"/>
                <w:highlight w:val="none"/>
                <w:lang w:val="en-US" w:eastAsia="zh-CN"/>
              </w:rPr>
              <w:t>；安装8路彩色红外金属摄像机拍摄(1、路面（ADAS摄像头）2、上客门及投币机3、驾驶员4、驾驶员（ADAS摄像头）5、车内前部向后 6、车内后部向前、7、下客门8、其他待定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w:t>
            </w:r>
          </w:p>
        </w:tc>
        <w:tc>
          <w:tcPr>
            <w:tcW w:w="1657"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360环视系统</w:t>
            </w:r>
          </w:p>
        </w:tc>
        <w:tc>
          <w:tcPr>
            <w:tcW w:w="8378"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1、整车全景环视监控系统，满足3D成像，4路高清摄像头安装在车辆四周，配套4个摄像头，主机与摄像头通过航空头延长线进行连接</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采用独立显示屏显示。</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2、3D全景AVM无缝、无盲区拼接,四路720P AHD高清鱼眼摄像头输入，拼接处图像自然无鬼影。</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3、视距无穷远,近处能显示到汽车轮廓边缘，远处能显示到地面灭点。</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4、可变换自由视角,自动四视角，手动八视角，根据车身信号（转向和倒车）自动切换视角。</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5、行车记录,前后左右全方位行车记录，自带TF卡，支持64G及以上存储，视频文件支持本地查看、处理。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车后广告屏</w:t>
            </w:r>
          </w:p>
        </w:tc>
        <w:tc>
          <w:tcPr>
            <w:tcW w:w="8378" w:type="dxa"/>
            <w:tcBorders>
              <w:left w:val="single" w:color="auto" w:sz="4" w:space="0"/>
              <w:right w:val="single" w:color="auto" w:sz="4" w:space="0"/>
            </w:tcBorders>
            <w:noWrap w:val="0"/>
            <w:vAlign w:val="center"/>
          </w:tcPr>
          <w:p>
            <w:pPr>
              <w:autoSpaceDE w:val="0"/>
              <w:autoSpaceDN w:val="0"/>
              <w:adjustRightInd w:val="0"/>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车后档位置设置城市文明宣传广告屏，尺寸由采购人确定。车内后风档安装广告显示屏，64x320点阵，支持文字，图片、动画、视频等显示模式，无线模块通讯方式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与车载调度终端一体机共享一张流量卡，并与现有调度系统无缝对接。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6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1</w:t>
            </w:r>
          </w:p>
        </w:tc>
        <w:tc>
          <w:tcPr>
            <w:tcW w:w="1657"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车载移动支付</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负责</w:t>
            </w:r>
            <w:r>
              <w:rPr>
                <w:rFonts w:hint="eastAsia" w:ascii="宋体" w:hAnsi="宋体" w:eastAsia="宋体" w:cs="宋体"/>
                <w:color w:val="auto"/>
                <w:sz w:val="24"/>
                <w:szCs w:val="24"/>
                <w:highlight w:val="none"/>
              </w:rPr>
              <w:t>国朗车载</w:t>
            </w:r>
            <w:r>
              <w:rPr>
                <w:rFonts w:hint="eastAsia" w:ascii="宋体" w:hAnsi="宋体" w:eastAsia="宋体" w:cs="宋体"/>
                <w:color w:val="auto"/>
                <w:sz w:val="24"/>
                <w:szCs w:val="24"/>
                <w:highlight w:val="none"/>
                <w:lang w:eastAsia="zh-CN"/>
              </w:rPr>
              <w:t>全支付一体机支架、电源线采购及安装</w:t>
            </w:r>
            <w:r>
              <w:rPr>
                <w:rFonts w:hint="eastAsia" w:ascii="宋体" w:hAnsi="宋体" w:eastAsia="宋体" w:cs="宋体"/>
                <w:color w:val="auto"/>
                <w:sz w:val="24"/>
                <w:szCs w:val="24"/>
                <w:highlight w:val="none"/>
              </w:rPr>
              <w:t>。注：国朗车载收费机为采购人统一使用的产品,联系方式：</w:t>
            </w:r>
            <w:r>
              <w:rPr>
                <w:rFonts w:hint="eastAsia" w:ascii="宋体" w:hAnsi="宋体" w:eastAsia="宋体" w:cs="宋体"/>
                <w:color w:val="auto"/>
                <w:sz w:val="24"/>
                <w:szCs w:val="24"/>
                <w:highlight w:val="none"/>
                <w:lang w:eastAsia="zh-CN"/>
              </w:rPr>
              <w:t>黄先生，</w:t>
            </w:r>
            <w:r>
              <w:rPr>
                <w:rFonts w:hint="eastAsia" w:ascii="宋体" w:hAnsi="宋体" w:eastAsia="宋体" w:cs="宋体"/>
                <w:color w:val="auto"/>
                <w:sz w:val="24"/>
                <w:szCs w:val="24"/>
                <w:highlight w:val="none"/>
                <w:lang w:val="en-US" w:eastAsia="zh-CN"/>
              </w:rPr>
              <w:t>18069857322</w:t>
            </w:r>
            <w:r>
              <w:rPr>
                <w:rFonts w:hint="eastAsia" w:ascii="宋体" w:hAnsi="宋体" w:eastAsia="宋体" w:cs="宋体"/>
                <w:color w:val="auto"/>
                <w:sz w:val="24"/>
                <w:szCs w:val="24"/>
                <w:highlight w:val="none"/>
              </w:rPr>
              <w:t>。</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1套支架及电源线</w:t>
            </w:r>
            <w:r>
              <w:rPr>
                <w:rFonts w:hint="eastAsia" w:ascii="宋体" w:hAnsi="宋体" w:eastAsia="宋体" w:cs="宋体"/>
                <w:color w:val="auto"/>
                <w:sz w:val="24"/>
                <w:szCs w:val="24"/>
                <w:highlight w:val="none"/>
              </w:rPr>
              <w:t>合计价格</w:t>
            </w: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63" w:type="dxa"/>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2</w:t>
            </w:r>
          </w:p>
        </w:tc>
        <w:tc>
          <w:tcPr>
            <w:tcW w:w="1657" w:type="dxa"/>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投币机</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自动门投币机</w:t>
            </w:r>
            <w:r>
              <w:rPr>
                <w:rFonts w:hint="eastAsia" w:ascii="宋体" w:hAnsi="宋体" w:eastAsia="宋体" w:cs="宋体"/>
                <w:color w:val="auto"/>
                <w:sz w:val="24"/>
                <w:szCs w:val="24"/>
                <w:highlight w:val="none"/>
              </w:rPr>
              <w:t>外观尺寸</w:t>
            </w:r>
            <w:r>
              <w:rPr>
                <w:rFonts w:hint="eastAsia" w:ascii="宋体" w:hAnsi="宋体" w:eastAsia="宋体" w:cs="宋体"/>
                <w:color w:val="auto"/>
                <w:sz w:val="24"/>
                <w:szCs w:val="24"/>
                <w:highlight w:val="none"/>
                <w:lang w:eastAsia="zh-CN"/>
              </w:rPr>
              <w:t>小于等于</w:t>
            </w:r>
            <w:r>
              <w:rPr>
                <w:rFonts w:hint="eastAsia" w:ascii="宋体" w:hAnsi="宋体" w:eastAsia="宋体" w:cs="宋体"/>
                <w:color w:val="auto"/>
                <w:sz w:val="24"/>
                <w:szCs w:val="24"/>
                <w:highlight w:val="none"/>
                <w:lang w:val="en-US" w:eastAsia="zh-CN"/>
              </w:rPr>
              <w:t>260*290*1050</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val="en-US" w:eastAsia="zh-CN"/>
              </w:rPr>
              <w:t>支持定次、定时、定点开箱，可加装专用无线通讯模块，</w:t>
            </w:r>
            <w:r>
              <w:rPr>
                <w:rFonts w:hint="eastAsia" w:ascii="宋体" w:hAnsi="宋体" w:eastAsia="宋体" w:cs="宋体"/>
                <w:color w:val="auto"/>
                <w:sz w:val="24"/>
                <w:szCs w:val="24"/>
                <w:highlight w:val="none"/>
              </w:rPr>
              <w:t>底座高度可选，可以与各车型配套，公交车24V供电，标配</w:t>
            </w:r>
            <w:r>
              <w:rPr>
                <w:rFonts w:hint="eastAsia" w:ascii="宋体" w:hAnsi="宋体" w:eastAsia="宋体" w:cs="宋体"/>
                <w:color w:val="auto"/>
                <w:sz w:val="24"/>
                <w:szCs w:val="24"/>
                <w:highlight w:val="none"/>
                <w:lang w:val="en-US" w:eastAsia="zh-CN"/>
              </w:rPr>
              <w:t>1箱3</w:t>
            </w:r>
            <w:r>
              <w:rPr>
                <w:rFonts w:hint="eastAsia" w:ascii="宋体" w:hAnsi="宋体" w:eastAsia="宋体" w:cs="宋体"/>
                <w:color w:val="auto"/>
                <w:sz w:val="24"/>
                <w:szCs w:val="24"/>
                <w:highlight w:val="none"/>
              </w:rPr>
              <w:t>个内胆，使用电子锁内胆，冷轧板喷涂材质，自动翻板功能（根据公交车开关门或其他感应、通讯等），实现自动翻板功能；具有防震降噪设计，在车辆行驶直颠簸中不产生明显的金属碰撞、摩擦等噪声；</w:t>
            </w:r>
          </w:p>
          <w:p>
            <w:pPr>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内胆</w:t>
            </w:r>
            <w:r>
              <w:rPr>
                <w:rFonts w:hint="eastAsia" w:ascii="宋体" w:hAnsi="宋体" w:eastAsia="宋体" w:cs="宋体"/>
                <w:color w:val="auto"/>
                <w:sz w:val="24"/>
                <w:szCs w:val="24"/>
                <w:highlight w:val="none"/>
                <w:lang w:val="en-US" w:eastAsia="zh-CN"/>
              </w:rPr>
              <w:t>采用蜂窝状新型增强PC材料外壳，</w:t>
            </w:r>
            <w:r>
              <w:rPr>
                <w:rFonts w:hint="eastAsia" w:ascii="宋体" w:hAnsi="宋体" w:eastAsia="宋体" w:cs="宋体"/>
                <w:color w:val="auto"/>
                <w:sz w:val="24"/>
                <w:szCs w:val="24"/>
                <w:highlight w:val="none"/>
              </w:rPr>
              <w:t>安装电子标签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开箱采用非接触CPU卡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按规定配置，含备用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，不低于128位加密密码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搭配自助收银柜，实现驾驶员自助收胆；可应、扩展支持扩展自助收银管理系统和智能点钞清算系统；要求配备</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套一主四副的自助收银柜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个主柜或副柜配备16个内胆小箱门，采用CPU卡作为收银柜开箱钥匙，依照银行PBOC2.0标准采用先充值后消费的模式，具有定时定点定次开箱；另外配备2套自助点钞终端含，有点钞终端、读卡器、电子称组成，点钞终端采用10.1寸24位色TFT屏，分辨率不小于800x480，支持电容触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含收银管理系统软件。</w:t>
            </w:r>
          </w:p>
          <w:p>
            <w:pPr>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具有较高的安全可靠性，符合产品技术标准和行业有关标准要求；</w:t>
            </w:r>
          </w:p>
          <w:p>
            <w:pPr>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免费配合投币机和终端通讯调试，并做好软件升级工作；投币机通过CAN总线与GPS联机可实现远程操作；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63"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3</w:t>
            </w:r>
          </w:p>
        </w:tc>
        <w:tc>
          <w:tcPr>
            <w:tcW w:w="1657"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公交标识</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上客门、下客门、爱心座椅、安全窗等标识按《城市公共交通标志》标准制作</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4</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灭火器</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rPr>
            </w:pPr>
          </w:p>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按标准配</w:t>
            </w:r>
            <w:r>
              <w:rPr>
                <w:rFonts w:hint="eastAsia" w:ascii="宋体" w:hAnsi="宋体" w:eastAsia="宋体" w:cs="宋体"/>
                <w:color w:val="auto"/>
                <w:sz w:val="24"/>
                <w:szCs w:val="24"/>
                <w:highlight w:val="none"/>
              </w:rPr>
              <w:t>手提式干粉灭火器2个，按车厢前、后合适位置各放置一个并安装不锈钢固定支架</w:t>
            </w:r>
            <w:r>
              <w:rPr>
                <w:rFonts w:hint="eastAsia" w:ascii="宋体" w:hAnsi="宋体" w:eastAsia="宋体" w:cs="宋体"/>
                <w:color w:val="auto"/>
                <w:sz w:val="24"/>
                <w:szCs w:val="24"/>
                <w:highlight w:val="none"/>
                <w:lang w:eastAsia="zh-CN"/>
              </w:rPr>
              <w:t>。</w:t>
            </w:r>
          </w:p>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45</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工具箱</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位置视车厢内驾驶室后空间而定（上下两层或三层），并配一套专用随车工具</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6</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垃圾篓及</w:t>
            </w:r>
            <w:r>
              <w:rPr>
                <w:rFonts w:hint="eastAsia" w:ascii="宋体" w:hAnsi="宋体" w:eastAsia="宋体" w:cs="宋体"/>
                <w:color w:val="auto"/>
                <w:sz w:val="24"/>
                <w:szCs w:val="24"/>
                <w:highlight w:val="none"/>
                <w:lang w:eastAsia="zh-CN"/>
              </w:rPr>
              <w:t>其它设施</w:t>
            </w:r>
          </w:p>
        </w:tc>
        <w:tc>
          <w:tcPr>
            <w:tcW w:w="837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不锈钢</w:t>
            </w:r>
            <w:r>
              <w:rPr>
                <w:rFonts w:hint="eastAsia" w:ascii="宋体" w:hAnsi="宋体" w:cs="宋体"/>
                <w:color w:val="auto"/>
                <w:sz w:val="24"/>
                <w:szCs w:val="24"/>
                <w:highlight w:val="none"/>
                <w:lang w:val="en-US" w:eastAsia="zh-CN"/>
              </w:rPr>
              <w:t>垃圾分类垃圾桶</w:t>
            </w:r>
            <w:r>
              <w:rPr>
                <w:rFonts w:hint="eastAsia" w:ascii="宋体" w:hAnsi="宋体" w:eastAsia="宋体" w:cs="宋体"/>
                <w:color w:val="auto"/>
                <w:sz w:val="24"/>
                <w:szCs w:val="24"/>
                <w:highlight w:val="none"/>
              </w:rPr>
              <w:t>（带固定支架）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并在桶盖及桶身注明“可回收垃圾”、“其他垃圾”字样，安装一套，随车携带一套</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eastAsia="zh-CN"/>
              </w:rPr>
              <w:t>安装洁具箱，</w:t>
            </w:r>
            <w:r>
              <w:rPr>
                <w:rFonts w:hint="eastAsia" w:ascii="宋体" w:hAnsi="宋体" w:eastAsia="宋体" w:cs="宋体"/>
                <w:b w:val="0"/>
                <w:bCs w:val="0"/>
                <w:color w:val="auto"/>
                <w:sz w:val="24"/>
                <w:szCs w:val="24"/>
                <w:highlight w:val="none"/>
              </w:rPr>
              <w:t>加装驾驶员不锈钢热水瓶支架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驾驶室正上方安装2个驾驶员服务证不锈钢插架（尺寸：95mm*135mm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在车内驾驶室包围和后部恰当位置张贴“车厢内禁止吸烟，请勿饮食”。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7</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司机风扇</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在司机左立柱配备橡胶叶片小风扇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安装位置避免造成驾驶视线遮挡。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8</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电子钟</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按厂家标配内外双温显电子钟。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49</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下车提示按钮</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下客门两侧扶手杆距地板1.35米高度处各安装下车提示按钮1只（共2只）</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下客门上方喷"下车请按铃"字样并且须有语音播报</w:t>
            </w:r>
            <w:r>
              <w:rPr>
                <w:rFonts w:hint="eastAsia" w:ascii="宋体" w:hAnsi="宋体" w:eastAsia="宋体" w:cs="宋体"/>
                <w:b w:val="0"/>
                <w:bCs w:val="0"/>
                <w:color w:val="auto"/>
                <w:sz w:val="24"/>
                <w:szCs w:val="24"/>
                <w:highlight w:val="none"/>
                <w:lang w:eastAsia="zh-CN"/>
              </w:rPr>
              <w:t>（短音提示一次）</w:t>
            </w:r>
            <w:r>
              <w:rPr>
                <w:rFonts w:hint="eastAsia" w:ascii="宋体" w:hAnsi="宋体" w:eastAsia="宋体" w:cs="宋体"/>
                <w:b w:val="0"/>
                <w:bCs w:val="0"/>
                <w:color w:val="auto"/>
                <w:sz w:val="24"/>
                <w:szCs w:val="24"/>
                <w:highlight w:val="none"/>
              </w:rPr>
              <w:t>及仪表盘右侧灯光提示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每只下车提示按钮上方设"下车请按铃"永久性标识，按钮要凹陷设计，不易擦碰。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20</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乘客标尺</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在上客扶手立杆设1.2米及1.5米儿童身高标志及"标志线以上儿童请购票"永久性标识</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51</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安全锤</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安全锤不少于5个（带离锤报警功能安全锤，符合中国公路学会客车分会审查通过发布的《标准的客车应急锤产品型号目录》），其中一个安装在驾驶员左上方其他均匀分布</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2</w:t>
            </w:r>
          </w:p>
        </w:tc>
        <w:tc>
          <w:tcPr>
            <w:tcW w:w="100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电动单冷空调</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顶置式电动智能变频</w:t>
            </w:r>
            <w:r>
              <w:rPr>
                <w:rFonts w:hint="eastAsia" w:ascii="宋体" w:hAnsi="宋体" w:eastAsia="宋体" w:cs="宋体"/>
                <w:color w:val="auto"/>
                <w:sz w:val="24"/>
                <w:szCs w:val="24"/>
                <w:highlight w:val="none"/>
                <w:lang w:eastAsia="zh-CN"/>
              </w:rPr>
              <w:t>单冷</w:t>
            </w:r>
            <w:r>
              <w:rPr>
                <w:rFonts w:hint="eastAsia" w:ascii="宋体" w:hAnsi="宋体" w:eastAsia="宋体" w:cs="宋体"/>
                <w:color w:val="auto"/>
                <w:sz w:val="24"/>
                <w:szCs w:val="24"/>
                <w:highlight w:val="none"/>
              </w:rPr>
              <w:t>空调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制冷量≥1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000大卡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空调机组安装牢固可靠，整机性能稳定，拆装清洁方便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前、后车厢及驾驶区各部位温度均匀一致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风道内增设导流板，确保冷风有效引入车厢。冷凝、蒸发风机采用空调厂家标配无刷风机，进口或国产干燥过滤器、电磁阀、视液镜、离合器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进口膨胀阀、进口卧式全封闭变频涡旋压缩机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空调保险采用防松保险，空调管道采用紫铜管</w:t>
            </w:r>
            <w:r>
              <w:rPr>
                <w:rFonts w:hint="eastAsia" w:ascii="宋体" w:hAnsi="宋体" w:eastAsia="宋体" w:cs="宋体"/>
                <w:color w:val="auto"/>
                <w:sz w:val="24"/>
                <w:szCs w:val="24"/>
                <w:highlight w:val="none"/>
                <w:lang w:eastAsia="zh-CN"/>
              </w:rPr>
              <w:t>做好防护处理</w:t>
            </w:r>
            <w:r>
              <w:rPr>
                <w:rFonts w:hint="eastAsia" w:ascii="宋体" w:hAnsi="宋体" w:eastAsia="宋体" w:cs="宋体"/>
                <w:color w:val="auto"/>
                <w:sz w:val="24"/>
                <w:szCs w:val="24"/>
                <w:highlight w:val="none"/>
              </w:rPr>
              <w:t>，空调底座采用铝合金材料。每年4月份中标方派人来免费保养一次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物联网控制带智能调温、故障判断预警，实时监测运行状态（数据接入CAN总线）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免费质保8年（含易损、易耗件）</w:t>
            </w:r>
            <w:r>
              <w:rPr>
                <w:rFonts w:hint="eastAsia" w:ascii="宋体" w:hAnsi="宋体" w:eastAsia="宋体" w:cs="宋体"/>
                <w:color w:val="auto"/>
                <w:sz w:val="24"/>
                <w:szCs w:val="24"/>
                <w:highlight w:val="none"/>
                <w:lang w:eastAsia="zh-CN"/>
              </w:rPr>
              <w:t>。</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需配备CAN总线通讯模块，设定温度、通过车身CAN总线向智能调度系统提供空调开关信号、实时温度等信息，工作状态上传至车身CAN（通讯协议符合J1939标准）。</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当地未建立服务站的，</w:t>
            </w:r>
            <w:r>
              <w:rPr>
                <w:rFonts w:hint="eastAsia" w:ascii="宋体" w:hAnsi="宋体" w:eastAsia="宋体" w:cs="宋体"/>
                <w:color w:val="auto"/>
                <w:sz w:val="24"/>
                <w:szCs w:val="24"/>
                <w:highlight w:val="none"/>
              </w:rPr>
              <w:t>车辆制造厂家或配套厂家承诺，并附承诺书在招标方单位所在地建立空调维保服务站。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3</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电热除霜装置</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电热除霜装置采用电热暖风除霜系统（风机功率确定必须符合纯电动车辆节能因素），电气绝缘隔离性能满足安全防护要求，除霜效果保证玻璃的正常可视，进气通道采用内循环。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其它：随车配备全车电路图、使用说明书等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4</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三角警告牌和停车三角木</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本配置表未列入部分按厂家标准配置。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5</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新车贮电量</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送车至卸车地点时，</w:t>
            </w:r>
            <w:r>
              <w:rPr>
                <w:rFonts w:hint="eastAsia" w:ascii="宋体" w:hAnsi="宋体" w:eastAsia="宋体" w:cs="宋体"/>
                <w:color w:val="auto"/>
                <w:sz w:val="24"/>
                <w:szCs w:val="24"/>
                <w:highlight w:val="none"/>
                <w:lang w:val="zh-CN"/>
              </w:rPr>
              <w:t>动力电源储电</w:t>
            </w:r>
            <w:r>
              <w:rPr>
                <w:rFonts w:hint="eastAsia" w:ascii="宋体" w:hAnsi="宋体" w:eastAsia="宋体" w:cs="宋体"/>
                <w:color w:val="auto"/>
                <w:sz w:val="24"/>
                <w:szCs w:val="24"/>
                <w:highlight w:val="none"/>
              </w:rPr>
              <w:t>量不低于配电的80%，以保证新车能行驶到充电场站及满足检测上牌行驶里程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6</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送车</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厂家送车至指定地点，送车及装卸费用，计入投标单价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7</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系统</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本项目所涉及的所有系统，均需提供接口协议，并做好后期公交智能化的联动调试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98"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pPr>
        <w:jc w:val="left"/>
        <w:rPr>
          <w:rFonts w:hint="eastAsia" w:hAnsi="宋体"/>
          <w:b/>
          <w:color w:val="auto"/>
          <w:highlight w:val="none"/>
          <w:u w:val="single"/>
        </w:rPr>
      </w:pPr>
    </w:p>
    <w:p>
      <w:pPr>
        <w:jc w:val="left"/>
        <w:rPr>
          <w:rFonts w:hint="eastAsia" w:hAnsi="宋体"/>
          <w:b/>
          <w:color w:val="auto"/>
          <w:highlight w:val="none"/>
          <w:u w:val="single"/>
          <w:lang w:val="en-US" w:eastAsia="zh-CN"/>
        </w:rPr>
      </w:pPr>
    </w:p>
    <w:p>
      <w:pPr>
        <w:tabs>
          <w:tab w:val="left" w:pos="3066"/>
        </w:tabs>
        <w:adjustRightInd w:val="0"/>
        <w:snapToGrid w:val="0"/>
        <w:spacing w:line="312" w:lineRule="auto"/>
        <w:rPr>
          <w:rFonts w:hint="default" w:ascii="宋体" w:hAnsi="宋体" w:cs="宋体"/>
          <w:b/>
          <w:bCs/>
          <w:color w:val="auto"/>
          <w:highlight w:val="none"/>
          <w:lang w:val="en-US"/>
        </w:rPr>
      </w:pPr>
      <w:r>
        <w:rPr>
          <w:rFonts w:hint="eastAsia" w:ascii="宋体" w:hAnsi="宋体" w:cs="宋体"/>
          <w:b/>
          <w:bCs/>
          <w:color w:val="auto"/>
          <w:highlight w:val="none"/>
          <w:lang w:val="en-US" w:eastAsia="zh-CN"/>
        </w:rPr>
        <w:t>标项三参数：</w:t>
      </w:r>
    </w:p>
    <w:tbl>
      <w:tblPr>
        <w:tblStyle w:val="42"/>
        <w:tblW w:w="10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657"/>
        <w:gridCol w:w="8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内容/部件</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763" w:type="dxa"/>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57" w:type="dxa"/>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保证车辆符合上牌条件，保证车辆上牌前满足国家新能源相关政策要求具有国家产品公告、免税购置目录。</w:t>
            </w:r>
            <w:r>
              <w:rPr>
                <w:rFonts w:hint="eastAsia" w:ascii="宋体" w:hAnsi="宋体" w:eastAsia="宋体" w:cs="宋体"/>
                <w:color w:val="auto"/>
                <w:sz w:val="24"/>
                <w:szCs w:val="24"/>
                <w:highlight w:val="none"/>
                <w:u w:val="single"/>
              </w:rPr>
              <w:t>如投标人交付车辆与以上公告、目录不符，造成不能正常上牌，一切损失由投标人自行承担。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客车设计</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体造型设计新颖美观，体现节能环保、经济实用、安全舒适、维护简便；达到结构布置合理、乘坐舒适、驾驶灵活稳定、工艺质量可靠等要求；特别是在电驱动控制和技术匹配、防漏电安全防护、降噪处理、车内人性化设计、结构和工艺等方面具有专长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车身造型要求美观大方，整车材料符合相关标准和节能环保要求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采用新技术、新工艺、新材料，结构布置合理，工艺质量可靠，技术性能和结构工艺体现国内先进水平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噪音限值</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噪音限值符合或优于国家标准，提供有关检测报告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电磁辐射</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电磁辐射符合国家标准，提供有关检测报告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基本参数</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基本参数和技术性能必须符合电动客车国家和行业的有关标准要求，与公告目录一致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★车身尺寸</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长度5.9-6.99（含）米，宽度≥2.1米，轮胎要求后四轮。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最大核载数</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核载人数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乘客座位数</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lang w:val="en-US" w:eastAsia="zh-CN"/>
              </w:rPr>
              <w:t>≥18</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根据采购人需求进行布局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8</w:t>
            </w:r>
          </w:p>
        </w:tc>
        <w:tc>
          <w:tcPr>
            <w:tcW w:w="100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动力系统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6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★驱动形式</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永磁同步电机驱动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要求驱动电机额定功率≥</w:t>
            </w:r>
            <w:r>
              <w:rPr>
                <w:rFonts w:hint="eastAsia" w:ascii="宋体" w:hAnsi="宋体" w:eastAsia="宋体" w:cs="宋体"/>
                <w:b w:val="0"/>
                <w:bCs/>
                <w:color w:val="auto"/>
                <w:sz w:val="24"/>
                <w:szCs w:val="24"/>
                <w:highlight w:val="none"/>
                <w:lang w:val="en-US" w:eastAsia="zh-CN"/>
              </w:rPr>
              <w:t>50</w:t>
            </w:r>
            <w:r>
              <w:rPr>
                <w:rFonts w:hint="eastAsia" w:ascii="宋体" w:hAnsi="宋体" w:eastAsia="宋体" w:cs="宋体"/>
                <w:b w:val="0"/>
                <w:bCs/>
                <w:color w:val="auto"/>
                <w:sz w:val="24"/>
                <w:szCs w:val="24"/>
                <w:highlight w:val="none"/>
              </w:rPr>
              <w:t>kW，峰值功率≥</w:t>
            </w:r>
            <w:r>
              <w:rPr>
                <w:rFonts w:hint="eastAsia" w:ascii="宋体" w:hAnsi="宋体" w:eastAsia="宋体" w:cs="宋体"/>
                <w:b w:val="0"/>
                <w:bCs/>
                <w:color w:val="auto"/>
                <w:sz w:val="24"/>
                <w:szCs w:val="24"/>
                <w:highlight w:val="none"/>
                <w:lang w:val="en-US" w:eastAsia="zh-CN"/>
              </w:rPr>
              <w:t>100</w:t>
            </w:r>
            <w:r>
              <w:rPr>
                <w:rFonts w:hint="eastAsia" w:ascii="宋体" w:hAnsi="宋体" w:eastAsia="宋体" w:cs="宋体"/>
                <w:b w:val="0"/>
                <w:bCs/>
                <w:color w:val="auto"/>
                <w:sz w:val="24"/>
                <w:szCs w:val="24"/>
                <w:highlight w:val="none"/>
              </w:rPr>
              <w:t xml:space="preserve"> kW。提供投标车型的驱动电机峰值功率/转速/转矩，以投标车型整车公告页技术参数数据和中国汽车网查询为准。选用质量稳定性好、效率高、噪音低的</w:t>
            </w:r>
            <w:r>
              <w:rPr>
                <w:rFonts w:hint="eastAsia" w:ascii="宋体" w:hAnsi="宋体" w:cs="宋体"/>
                <w:b w:val="0"/>
                <w:bCs/>
                <w:color w:val="auto"/>
                <w:sz w:val="24"/>
                <w:szCs w:val="24"/>
                <w:highlight w:val="none"/>
                <w:lang w:val="en-US" w:eastAsia="zh-CN"/>
              </w:rPr>
              <w:t>高质量</w:t>
            </w:r>
            <w:r>
              <w:rPr>
                <w:rFonts w:hint="eastAsia" w:ascii="宋体" w:hAnsi="宋体" w:eastAsia="宋体" w:cs="宋体"/>
                <w:b w:val="0"/>
                <w:bCs/>
                <w:color w:val="auto"/>
                <w:sz w:val="24"/>
                <w:szCs w:val="24"/>
                <w:highlight w:val="none"/>
              </w:rPr>
              <w:t>电机，防护等级IP68以上。质保8年；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制动时具有制动能量回收和电磁缓速功能，当电磁缓速失效时具备提示功能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w:t>
            </w:r>
          </w:p>
        </w:tc>
        <w:tc>
          <w:tcPr>
            <w:tcW w:w="16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★动力电池组</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动力电池：电池种类为磷酸铁锂电池，质保8年，储能系统：</w:t>
            </w:r>
          </w:p>
          <w:p>
            <w:pPr>
              <w:keepNext w:val="0"/>
              <w:keepLines w:val="0"/>
              <w:pageBreakBefore w:val="0"/>
              <w:kinsoku/>
              <w:wordWrap/>
              <w:topLinePunct w:val="0"/>
              <w:bidi w:val="0"/>
              <w:snapToGrid/>
              <w:spacing w:line="400" w:lineRule="exac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系统能量密度≥</w:t>
            </w:r>
            <w:r>
              <w:rPr>
                <w:rFonts w:hint="eastAsia" w:ascii="宋体" w:hAnsi="宋体" w:cs="宋体"/>
                <w:b w:val="0"/>
                <w:bCs/>
                <w:color w:val="auto"/>
                <w:sz w:val="24"/>
                <w:szCs w:val="24"/>
                <w:highlight w:val="none"/>
                <w:lang w:val="en-US" w:eastAsia="zh-CN"/>
              </w:rPr>
              <w:t>13</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wh/kg (需提供电池生产厂家报吿支撑)，</w:t>
            </w:r>
            <w:r>
              <w:rPr>
                <w:rFonts w:hint="eastAsia" w:ascii="宋体" w:hAnsi="宋体" w:eastAsia="宋体" w:cs="宋体"/>
                <w:b w:val="0"/>
                <w:bCs/>
                <w:color w:val="auto"/>
                <w:sz w:val="24"/>
                <w:szCs w:val="24"/>
                <w:highlight w:val="none"/>
                <w:lang w:eastAsia="zh-CN"/>
              </w:rPr>
              <w:t>水冷散热。</w:t>
            </w:r>
          </w:p>
          <w:p>
            <w:pPr>
              <w:keepNext w:val="0"/>
              <w:keepLines w:val="0"/>
              <w:pageBreakBefore w:val="0"/>
              <w:kinsoku/>
              <w:wordWrap/>
              <w:topLinePunct w:val="0"/>
              <w:bidi w:val="0"/>
              <w:snapToGrid/>
              <w:spacing w:line="400" w:lineRule="exac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电池储能≧95</w:t>
            </w:r>
            <w:r>
              <w:rPr>
                <w:rFonts w:hint="eastAsia" w:ascii="宋体" w:hAnsi="宋体" w:eastAsia="宋体" w:cs="宋体"/>
                <w:b/>
                <w:bCs w:val="0"/>
                <w:color w:val="auto"/>
                <w:sz w:val="24"/>
                <w:szCs w:val="24"/>
                <w:highlight w:val="none"/>
              </w:rPr>
              <w:t>KWH；</w:t>
            </w:r>
          </w:p>
          <w:p>
            <w:pPr>
              <w:keepNext w:val="0"/>
              <w:keepLines w:val="0"/>
              <w:pageBreakBefore w:val="0"/>
              <w:kinsoku/>
              <w:wordWrap/>
              <w:topLinePunct w:val="0"/>
              <w:bidi w:val="0"/>
              <w:snapToGrid/>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动力电池能量衰减要求：在质保期内无偿每年定期质量检测，并对有问题的电池进行临时检测，</w:t>
            </w: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年内电池组容量衰减不得超过20%</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否则须无条件免费更换新电池。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充电形式：慢充快补。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电池箱经多项破坏性试验达到国标要求，电池箱具有过流、过压、欠压、短路自动保护报警装置，电池管理系统报警给整车控制器，由整车控制器自动切断供电；电池箱防护等级IP6</w:t>
            </w: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及以上，安装位置满足涉水深度要求。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电池管理系统，可监控每个单体的电压、模组的温度、电池系统电流、电量，电池管理系统能对电池的温度、电压、电量、电流、绝缘性能等项目异常报警，电池系统自带远程安全监测系统，满足GB/T31467.3-2015安全标准，并提供国家认可的第三方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电芯体系选用锂离子动力电池，最大充电电流具备不小于1C的持续充电至80%SOC能力。整车最低SOC需能达到20%；每组配有熔断器，发生意外情况可及时切断电池连接，动力电池安装在车辆的底部</w:t>
            </w:r>
            <w:r>
              <w:rPr>
                <w:rFonts w:hint="eastAsia" w:ascii="宋体" w:hAnsi="宋体" w:eastAsia="宋体" w:cs="宋体"/>
                <w:color w:val="auto"/>
                <w:sz w:val="24"/>
                <w:szCs w:val="24"/>
                <w:highlight w:val="none"/>
                <w:lang w:eastAsia="zh-CN"/>
              </w:rPr>
              <w:t>或顶部</w:t>
            </w:r>
            <w:r>
              <w:rPr>
                <w:rFonts w:hint="eastAsia" w:ascii="宋体" w:hAnsi="宋体" w:eastAsia="宋体" w:cs="宋体"/>
                <w:color w:val="auto"/>
                <w:sz w:val="24"/>
                <w:szCs w:val="24"/>
                <w:highlight w:val="none"/>
              </w:rPr>
              <w:t>，不准占用车厢空间。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控制器</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采用厂家自主研发成熟</w:t>
            </w:r>
            <w:r>
              <w:rPr>
                <w:rFonts w:hint="eastAsia" w:ascii="宋体" w:hAnsi="宋体" w:eastAsia="宋体" w:cs="宋体"/>
                <w:color w:val="auto"/>
                <w:sz w:val="24"/>
                <w:szCs w:val="24"/>
                <w:highlight w:val="none"/>
              </w:rPr>
              <w:t>整车</w:t>
            </w:r>
            <w:r>
              <w:rPr>
                <w:rFonts w:hint="eastAsia" w:ascii="宋体" w:hAnsi="宋体" w:eastAsia="宋体" w:cs="宋体"/>
                <w:color w:val="auto"/>
                <w:sz w:val="24"/>
                <w:szCs w:val="24"/>
                <w:highlight w:val="none"/>
                <w:lang w:val="zh-CN"/>
              </w:rPr>
              <w:t>集成</w:t>
            </w:r>
            <w:r>
              <w:rPr>
                <w:rFonts w:hint="eastAsia" w:ascii="宋体" w:hAnsi="宋体" w:eastAsia="宋体" w:cs="宋体"/>
                <w:color w:val="auto"/>
                <w:sz w:val="24"/>
                <w:szCs w:val="24"/>
                <w:highlight w:val="none"/>
              </w:rPr>
              <w:t>控制器，安装位置紧凑，线路走向清晰，布局合理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防护等级均达到IP67（提供第三方检测报告）</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远程运营监控平台</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具备远程运营监控管理功能，实现车辆实时位置、故障、能耗监控查询，故障信息可通过电脑远程显示；厂家提供授权并承担相应费用，保证招标人能正常使用远程运营监控管理功能。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8.5</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电度表</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电池BMS已集成有记录电耗功能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★动力电池舱及电器设备舱</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电池舱壁使用气凝胶防火材料（提供实车照片和国家相关部门的检测报告为准），电池舱布局合理，安装位置满足涉水深度要求，检修方便，</w:t>
            </w:r>
            <w:r>
              <w:rPr>
                <w:rFonts w:hint="eastAsia" w:ascii="宋体" w:hAnsi="宋体" w:eastAsia="宋体" w:cs="宋体"/>
                <w:color w:val="auto"/>
                <w:sz w:val="24"/>
                <w:szCs w:val="24"/>
                <w:highlight w:val="none"/>
                <w:lang w:eastAsia="zh-CN"/>
              </w:rPr>
              <w:t>安装</w:t>
            </w:r>
            <w:r>
              <w:rPr>
                <w:rFonts w:hint="eastAsia" w:ascii="宋体" w:hAnsi="宋体" w:eastAsia="宋体" w:cs="宋体"/>
                <w:color w:val="auto"/>
                <w:sz w:val="24"/>
                <w:szCs w:val="24"/>
                <w:highlight w:val="none"/>
              </w:rPr>
              <w:t>锂电池舱专用灭火装置，</w:t>
            </w:r>
            <w:r>
              <w:rPr>
                <w:rFonts w:hint="eastAsia" w:ascii="宋体" w:hAnsi="宋体" w:eastAsia="宋体" w:cs="宋体"/>
                <w:color w:val="auto"/>
                <w:sz w:val="24"/>
                <w:szCs w:val="24"/>
                <w:highlight w:val="none"/>
                <w:lang w:eastAsia="zh-CN"/>
              </w:rPr>
              <w:t>质保</w:t>
            </w:r>
            <w:r>
              <w:rPr>
                <w:rFonts w:hint="eastAsia" w:ascii="宋体" w:hAnsi="宋体" w:eastAsia="宋体" w:cs="宋体"/>
                <w:color w:val="auto"/>
                <w:sz w:val="24"/>
                <w:szCs w:val="24"/>
                <w:highlight w:val="none"/>
                <w:lang w:val="en-US" w:eastAsia="zh-CN"/>
              </w:rPr>
              <w:t>8年，质保期内无偿定期检测确保有效，如</w:t>
            </w:r>
            <w:r>
              <w:rPr>
                <w:rFonts w:hint="eastAsia" w:ascii="宋体" w:hAnsi="宋体" w:eastAsia="宋体" w:cs="宋体"/>
                <w:color w:val="auto"/>
                <w:sz w:val="24"/>
                <w:szCs w:val="24"/>
                <w:highlight w:val="none"/>
              </w:rPr>
              <w:t>因装用不合格的锂电池舱专用灭火装置引起的各种损失及责任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由中标车厂承担。加装良好的隔热、隔振、降噪音材料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安全性达到JT/T1240-2019标准,动力电池具有防碰撞保护装置，确保电池舱发生碰撞后，不会引起车辆起火燃烧或爆炸，不会对人身造成伤害，否则中标方应承担全部的经济和法律责任</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车辆电器后舱布局合理，安装位置满足涉水深度要求，检修方便，需配自动灭火装置，后舱车厢底板应加装良好的隔热、隔振、降噪音、阻燃材料，通风良好，有利于散热。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8.7</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▲充电接口</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充电接应口符合国家标准要求，并与招标方已有充电桩相配套；</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动力系统应设计为充电枪未拔出前不能起步功能，同时具备拔枪时灭弧功能；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充放电多重安全监测报警保护，杜绝过充过放，发生意外情况主动切断高压。</w:t>
            </w:r>
            <w:r>
              <w:rPr>
                <w:rFonts w:hint="eastAsia" w:ascii="宋体" w:hAnsi="宋体" w:eastAsia="宋体" w:cs="宋体"/>
                <w:b w:val="0"/>
                <w:bCs/>
                <w:color w:val="auto"/>
                <w:sz w:val="24"/>
                <w:szCs w:val="24"/>
                <w:highlight w:val="none"/>
              </w:rPr>
              <w:t>充电接口应有防水流设置，</w:t>
            </w:r>
            <w:r>
              <w:rPr>
                <w:rFonts w:hint="eastAsia" w:ascii="宋体" w:hAnsi="宋体" w:eastAsia="宋体" w:cs="宋体"/>
                <w:b w:val="0"/>
                <w:color w:val="auto"/>
                <w:sz w:val="24"/>
                <w:szCs w:val="24"/>
                <w:highlight w:val="none"/>
              </w:rPr>
              <w:t>充电口外车身小门应有锁止机构。充电接口应有明显标志标示，防止人员误操作。</w:t>
            </w:r>
            <w:r>
              <w:rPr>
                <w:rFonts w:hint="eastAsia" w:ascii="宋体" w:hAnsi="宋体" w:eastAsia="宋体" w:cs="宋体"/>
                <w:b w:val="0"/>
                <w:bCs/>
                <w:color w:val="auto"/>
                <w:sz w:val="24"/>
                <w:szCs w:val="24"/>
                <w:highlight w:val="none"/>
              </w:rPr>
              <w:t>充电时，电源总开关应能关闭，确保安全。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冷却系统</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安装ATS智能温控冷却系统，膨胀水箱位置安装合理，加液方便；冷却液散热器、循环水泵安装具备防尘防泥水的独立仓室，冷却液循环电机采用大流量、低转速、低噪音温控变速电机；冷却液散热器采用吸气散热，风机转速由温控系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10</w:t>
            </w:r>
          </w:p>
        </w:tc>
        <w:tc>
          <w:tcPr>
            <w:tcW w:w="100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底盘系统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底盘结构</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封闭环式车身，整个车身参与载荷，上下部结构形成一体，在承受载荷时，整个车身壳体达到稳定平衡状态。车底骨架焊接处</w:t>
            </w:r>
            <w:r>
              <w:rPr>
                <w:rFonts w:hint="eastAsia" w:ascii="宋体" w:hAnsi="宋体" w:eastAsia="宋体" w:cs="宋体"/>
                <w:b w:val="0"/>
                <w:bCs w:val="0"/>
                <w:color w:val="auto"/>
                <w:sz w:val="24"/>
                <w:szCs w:val="24"/>
                <w:highlight w:val="none"/>
              </w:rPr>
              <w:t>应有两次防腐处理，下表面应防石击涂漆处理。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电驱空气压缩机</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要求无油活塞、进口机头，IP67防护等级认证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EMC电磁干扰认证，轻量环保静音，符合车辆营运要求，质保8年。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10.3</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转向电动泵</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电动转向油泵，</w:t>
            </w:r>
            <w:r>
              <w:rPr>
                <w:rFonts w:hint="eastAsia" w:ascii="宋体" w:hAnsi="宋体" w:eastAsia="宋体" w:cs="宋体"/>
                <w:color w:val="auto"/>
                <w:sz w:val="24"/>
                <w:szCs w:val="24"/>
                <w:highlight w:val="none"/>
                <w:lang w:val="zh-CN"/>
              </w:rPr>
              <w:t>可根据车辆行驶技术要求自动调节油压，</w:t>
            </w:r>
            <w:r>
              <w:rPr>
                <w:rFonts w:hint="eastAsia" w:ascii="宋体" w:hAnsi="宋体" w:eastAsia="宋体" w:cs="宋体"/>
                <w:color w:val="auto"/>
                <w:sz w:val="24"/>
                <w:szCs w:val="24"/>
                <w:highlight w:val="none"/>
              </w:rPr>
              <w:t>液压助力泵</w:t>
            </w:r>
            <w:r>
              <w:rPr>
                <w:rFonts w:hint="eastAsia" w:ascii="宋体" w:hAnsi="宋体" w:eastAsia="宋体" w:cs="宋体"/>
                <w:color w:val="auto"/>
                <w:sz w:val="24"/>
                <w:szCs w:val="24"/>
                <w:highlight w:val="none"/>
                <w:lang w:val="zh-CN"/>
              </w:rPr>
              <w:t>电机根据车辆运行工况具备高低压转速可变，车速</w:t>
            </w:r>
            <w:r>
              <w:rPr>
                <w:rFonts w:hint="eastAsia" w:ascii="宋体" w:hAnsi="宋体" w:eastAsia="宋体" w:cs="宋体"/>
                <w:color w:val="auto"/>
                <w:sz w:val="24"/>
                <w:szCs w:val="24"/>
                <w:highlight w:val="none"/>
              </w:rPr>
              <w:t>≤3公里/小时</w:t>
            </w:r>
            <w:r>
              <w:rPr>
                <w:rFonts w:hint="eastAsia" w:ascii="宋体" w:hAnsi="宋体" w:eastAsia="宋体" w:cs="宋体"/>
                <w:color w:val="auto"/>
                <w:sz w:val="24"/>
                <w:szCs w:val="24"/>
                <w:highlight w:val="none"/>
                <w:lang w:val="zh-CN"/>
              </w:rPr>
              <w:t>电动助力泵</w:t>
            </w:r>
            <w:r>
              <w:rPr>
                <w:rFonts w:hint="eastAsia" w:ascii="宋体" w:hAnsi="宋体" w:eastAsia="宋体" w:cs="宋体"/>
                <w:color w:val="auto"/>
                <w:sz w:val="24"/>
                <w:szCs w:val="24"/>
                <w:highlight w:val="none"/>
              </w:rPr>
              <w:t>无噪音、</w:t>
            </w:r>
            <w:r>
              <w:rPr>
                <w:rFonts w:hint="eastAsia" w:ascii="宋体" w:hAnsi="宋体" w:eastAsia="宋体" w:cs="宋体"/>
                <w:color w:val="auto"/>
                <w:sz w:val="24"/>
                <w:szCs w:val="24"/>
                <w:highlight w:val="none"/>
                <w:lang w:val="zh-CN"/>
              </w:rPr>
              <w:t>无振动功能，</w:t>
            </w:r>
            <w:r>
              <w:rPr>
                <w:rFonts w:hint="eastAsia" w:ascii="宋体" w:hAnsi="宋体" w:eastAsia="宋体" w:cs="宋体"/>
                <w:color w:val="auto"/>
                <w:sz w:val="24"/>
                <w:szCs w:val="24"/>
                <w:highlight w:val="none"/>
              </w:rPr>
              <w:t>电机位置满足涉水深度要求，电机防护等级【IP65】及以上。安装具备防尘防泥水的独立仓室</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转向器</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整体式动力转向机系统，配电动转向助力泵系统。贮油罐进、出输油管采用增强胶管和不锈钢卡箍固定连接，确保不泄露。进、出输油管和贮油罐等各部位采用固定攀连接固定，固定间距不大于300mm，不得与客车电器和电线以及客车其他零部件发生碰擦，并避开消声器和空压机出气管等，确保连接固定安全可靠。如遇液压助力</w:t>
            </w:r>
            <w:r>
              <w:rPr>
                <w:rFonts w:hint="eastAsia" w:ascii="宋体" w:hAnsi="宋体" w:eastAsia="宋体" w:cs="宋体"/>
                <w:color w:val="auto"/>
                <w:sz w:val="24"/>
                <w:szCs w:val="24"/>
                <w:highlight w:val="none"/>
                <w:lang w:val="zh-CN"/>
              </w:rPr>
              <w:t>失效时转向正常，</w:t>
            </w:r>
            <w:r>
              <w:rPr>
                <w:rFonts w:hint="eastAsia" w:ascii="宋体" w:hAnsi="宋体" w:eastAsia="宋体" w:cs="宋体"/>
                <w:color w:val="auto"/>
                <w:sz w:val="24"/>
                <w:szCs w:val="24"/>
                <w:highlight w:val="none"/>
              </w:rPr>
              <w:t>方向盘前后上下可调</w:t>
            </w:r>
            <w:r>
              <w:rPr>
                <w:rFonts w:hint="eastAsia" w:ascii="宋体" w:hAnsi="宋体" w:eastAsia="宋体" w:cs="宋体"/>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传动轴</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最大承载扭矩必须满足城市公交运营线路实际超载运行的特殊要求。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10.6</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前后桥</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前后桥优选主流高端车桥、差速器采用纯电公交车专用差速器。</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前桥额定载荷≥3.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T，后桥额定载荷≥</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T；免维护专用车桥，整体锻钢件；新能源汽车专用双向精磨齿主减速器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主锥加强、精磨齿、低噪音，符合公交客车使用要求；</w:t>
            </w:r>
            <w:r>
              <w:rPr>
                <w:rFonts w:hint="eastAsia" w:ascii="宋体" w:hAnsi="宋体" w:cs="宋体"/>
                <w:color w:val="auto"/>
                <w:sz w:val="24"/>
                <w:szCs w:val="24"/>
                <w:highlight w:val="none"/>
                <w:lang w:eastAsia="zh-CN"/>
              </w:rPr>
              <w:t>脂润滑</w:t>
            </w:r>
            <w:r>
              <w:rPr>
                <w:rFonts w:hint="eastAsia" w:ascii="宋体" w:hAnsi="宋体" w:eastAsia="宋体" w:cs="宋体"/>
                <w:color w:val="auto"/>
                <w:sz w:val="24"/>
                <w:szCs w:val="24"/>
                <w:highlight w:val="none"/>
              </w:rPr>
              <w:t>加强型免维护轮毂质保八年</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悬架系统</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气囊悬挂</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少片弹簧减震，弹簧片之间装配橡胶降噪片，布置合理，减震器配装双向作用固定螺母纵向锁紧，设有稳定杆平衡</w:t>
            </w:r>
            <w:r>
              <w:rPr>
                <w:rFonts w:hint="eastAsia" w:ascii="宋体" w:hAnsi="宋体" w:eastAsia="宋体" w:cs="宋体"/>
                <w:b w:val="0"/>
                <w:bCs w:val="0"/>
                <w:color w:val="auto"/>
                <w:sz w:val="24"/>
                <w:szCs w:val="24"/>
                <w:highlight w:val="none"/>
              </w:rPr>
              <w:t>机构。</w:t>
            </w:r>
            <w:r>
              <w:rPr>
                <w:rFonts w:hint="eastAsia" w:ascii="宋体" w:hAnsi="宋体" w:eastAsia="宋体" w:cs="宋体"/>
                <w:b w:val="0"/>
                <w:bCs w:val="0"/>
                <w:color w:val="auto"/>
                <w:sz w:val="24"/>
                <w:szCs w:val="24"/>
                <w:highlight w:val="none"/>
                <w:lang w:eastAsia="zh-CN"/>
              </w:rPr>
              <w:t>优选气囊悬挂。并</w:t>
            </w:r>
            <w:r>
              <w:rPr>
                <w:rFonts w:hint="eastAsia" w:ascii="宋体" w:hAnsi="宋体" w:eastAsia="宋体" w:cs="宋体"/>
                <w:b w:val="0"/>
                <w:bCs w:val="0"/>
                <w:color w:val="auto"/>
                <w:sz w:val="24"/>
                <w:szCs w:val="24"/>
                <w:highlight w:val="none"/>
              </w:rPr>
              <w:t>保证车辆前轮定位准确，无摆头和吃胎现象。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制动系统</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采用双回路行车制动、制动时具备电动缓速、能量回收功能。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前后盘式</w:t>
            </w:r>
            <w:r>
              <w:rPr>
                <w:rFonts w:hint="eastAsia" w:ascii="宋体" w:hAnsi="宋体" w:eastAsia="宋体" w:cs="宋体"/>
                <w:color w:val="auto"/>
                <w:sz w:val="24"/>
                <w:szCs w:val="24"/>
                <w:highlight w:val="none"/>
              </w:rPr>
              <w:t>制动，制动间隙自动调整，配备ABS防抱死功能，</w:t>
            </w:r>
            <w:r>
              <w:rPr>
                <w:rFonts w:hint="eastAsia" w:ascii="宋体" w:hAnsi="宋体" w:cs="宋体"/>
                <w:color w:val="auto"/>
                <w:sz w:val="24"/>
                <w:szCs w:val="24"/>
                <w:highlight w:val="none"/>
                <w:lang w:val="en-US" w:eastAsia="zh-CN"/>
              </w:rPr>
              <w:t>优选高质量产品。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制动管路系统按标准进行保压泄漏试验，管路排列整齐，固定支架牢固(固定间距不大于600mm)</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管路与高温、旋转部件保持安全距离或作重点防护，穿越洞孔、电池仓等隐蔽部位，加装阻燃绝缘套管缝隙填充减震胶可靠固定（用图说明），电线束和油气水管分列敷设布置</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起步制动保护，设声光报警，报警蜂鸣声与其它报警声响有明显区分</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四回路保护阀</w:t>
            </w:r>
            <w:r>
              <w:rPr>
                <w:rFonts w:hint="eastAsia" w:ascii="宋体" w:hAnsi="宋体" w:eastAsia="宋体" w:cs="宋体"/>
                <w:color w:val="auto"/>
                <w:sz w:val="24"/>
                <w:szCs w:val="24"/>
                <w:highlight w:val="none"/>
                <w:lang w:eastAsia="zh-CN"/>
              </w:rPr>
              <w:t>、空气干燥器等气阀部件</w:t>
            </w:r>
            <w:r>
              <w:rPr>
                <w:rFonts w:hint="eastAsia" w:ascii="宋体" w:hAnsi="宋体" w:eastAsia="宋体" w:cs="宋体"/>
                <w:color w:val="auto"/>
                <w:sz w:val="24"/>
                <w:szCs w:val="24"/>
                <w:highlight w:val="none"/>
              </w:rPr>
              <w:t>优选高端产品。</w:t>
            </w:r>
            <w:r>
              <w:rPr>
                <w:rFonts w:hint="eastAsia" w:ascii="宋体" w:hAnsi="宋体" w:eastAsia="宋体" w:cs="宋体"/>
                <w:color w:val="auto"/>
                <w:sz w:val="24"/>
                <w:szCs w:val="24"/>
                <w:highlight w:val="none"/>
                <w:lang w:eastAsia="zh-CN"/>
              </w:rPr>
              <w:t>安装自动排水阀，位置合理、检修方便。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制动踏板与水平面的夹角不能过大，符合人机工程要求，便于驾驶员操作及维修方便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驻车制动</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作用于后轮，</w:t>
            </w: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rPr>
              <w:t>手制动装置在驾驶员易操作的部位。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自锁螺母</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振动部位采用施必牢自锁螺母紧固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集中供油润滑装置</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ECU微电脑程序控制，液晶动态显示，具备智能故障诊断显示功能，适用润滑点数量≤60，底盘中央集中润滑系统要求符合QC/T 696-2011《汽车底盘集中润滑供油系统》。符合国家或相关行业标准，产品质保8年；车辆制造厂家或配套厂家承诺，并附承诺书；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r>
              <w:rPr>
                <w:rFonts w:hint="eastAsia" w:ascii="宋体" w:hAnsi="宋体" w:cs="宋体"/>
                <w:color w:val="auto"/>
                <w:sz w:val="24"/>
                <w:szCs w:val="24"/>
                <w:highlight w:val="none"/>
                <w:lang w:val="en-US" w:eastAsia="zh-CN"/>
              </w:rPr>
              <w:t>.1</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轮胎及轮辋</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优选高质量子午线真空胎或按厂家标配的国内一线子午线真空胎</w:t>
            </w:r>
            <w:r>
              <w:rPr>
                <w:rFonts w:hint="eastAsia" w:ascii="宋体" w:hAnsi="宋体" w:eastAsia="宋体" w:cs="宋体"/>
                <w:color w:val="auto"/>
                <w:sz w:val="24"/>
                <w:szCs w:val="24"/>
                <w:highlight w:val="none"/>
              </w:rPr>
              <w:t>；锻造铝合金轮辋</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带国产或进口优质胎压检测系统或胎压报警装置，并能通过仪表台向驾驶员显示相关信息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每辆客车配带同类规格型号</w:t>
            </w:r>
            <w:r>
              <w:rPr>
                <w:rFonts w:hint="eastAsia" w:ascii="宋体" w:hAnsi="宋体" w:eastAsia="宋体" w:cs="宋体"/>
                <w:color w:val="auto"/>
                <w:sz w:val="24"/>
                <w:szCs w:val="24"/>
                <w:highlight w:val="none"/>
                <w:lang w:eastAsia="zh-CN"/>
              </w:rPr>
              <w:t>含轮辋</w:t>
            </w:r>
            <w:r>
              <w:rPr>
                <w:rFonts w:hint="eastAsia" w:ascii="宋体" w:hAnsi="宋体" w:eastAsia="宋体" w:cs="宋体"/>
                <w:color w:val="auto"/>
                <w:sz w:val="24"/>
                <w:szCs w:val="24"/>
                <w:highlight w:val="none"/>
              </w:rPr>
              <w:t>的备胎1只。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16.2</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胎压监测</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1、本胎压监测是通过CAN总线模块对接车载仪表进行显示及报警提示，</w:t>
            </w:r>
            <w:r>
              <w:rPr>
                <w:rFonts w:hint="eastAsia" w:ascii="宋体" w:hAnsi="宋体" w:eastAsia="宋体" w:cs="宋体"/>
                <w:color w:val="auto"/>
                <w:sz w:val="24"/>
                <w:szCs w:val="24"/>
                <w:highlight w:val="none"/>
              </w:rPr>
              <w:t>向智能调度系统</w:t>
            </w:r>
            <w:r>
              <w:rPr>
                <w:rFonts w:hint="eastAsia" w:ascii="宋体" w:hAnsi="宋体" w:eastAsia="宋体" w:cs="宋体"/>
                <w:color w:val="auto"/>
                <w:sz w:val="24"/>
                <w:szCs w:val="24"/>
                <w:highlight w:val="none"/>
                <w:lang w:val="en-US" w:eastAsia="zh-CN"/>
              </w:rPr>
              <w:t>提供相关信息</w:t>
            </w:r>
            <w:r>
              <w:rPr>
                <w:rFonts w:hint="eastAsia" w:ascii="宋体" w:hAnsi="宋体" w:cs="宋体"/>
                <w:color w:val="auto"/>
                <w:sz w:val="24"/>
                <w:szCs w:val="24"/>
                <w:highlight w:val="none"/>
                <w:lang w:val="en-US" w:eastAsia="zh-CN"/>
              </w:rPr>
              <w:t>。</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2、具有低压、高压、高温、泄露和系统故障等多项预警功能，具有闪烁、声音等多种报警功能，提高报警效果。</w:t>
            </w:r>
          </w:p>
          <w:p>
            <w:pPr>
              <w:numPr>
                <w:ilvl w:val="0"/>
                <w:numId w:val="0"/>
              </w:numP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3、车载仪表显示，所有轮胎同时显示并显示压力值的变化，压力和温度同显，实时</w:t>
            </w:r>
            <w:r>
              <w:rPr>
                <w:rFonts w:hint="eastAsia" w:ascii="宋体" w:hAnsi="宋体" w:cs="宋体"/>
                <w:color w:val="auto"/>
                <w:sz w:val="24"/>
                <w:szCs w:val="24"/>
                <w:highlight w:val="none"/>
                <w:lang w:val="en-US" w:eastAsia="zh-CN"/>
              </w:rPr>
              <w:t>更新。</w:t>
            </w:r>
          </w:p>
          <w:p>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4、具备轮胎互换功能；可实现传感器自动学习、匹配</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与车辆CAN系统连接，有效实现数据传输，传感器使用环境最高温度不低于125℃ </w:t>
            </w: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电器线束</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整车线束按厂家标配，线束标记、布置，与整车线路图符合</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车采用优质CAN总线系统，整车CAN总线控制系统（三级）集成客车电机、电机驱动系统（含电源）、制动系统、电池设备仓散热系统、ABS、灯光、雨刷、车门、车载电子设备、空调与暖风装置等全部总成部件，具有状态显示、故障预警、故障判断、电耗与里程记录、故障记录、短路与过载保护等功能；配置电耗与里程以及故障信息等数据下载和传输接口。所有电器接插件采用进口AMP电线电器接插件（底盘部分为防水型）。线束布置整齐，走向合理，防护良好，固定可靠，不得坠挂和车辆运动中碰擦其他零部件或因抖动出现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尽可能减少高压连接点，</w:t>
            </w:r>
            <w:r>
              <w:rPr>
                <w:rFonts w:hint="eastAsia" w:ascii="宋体" w:hAnsi="宋体" w:eastAsia="宋体" w:cs="宋体"/>
                <w:color w:val="auto"/>
                <w:sz w:val="24"/>
                <w:szCs w:val="24"/>
                <w:highlight w:val="none"/>
              </w:rPr>
              <w:t>高压线接头的螺栓用热敏（阻燃）材料防护到位,所有裸露的高压接头采用热敏材料热塑密封</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高压线固定间距标准300-500mm，高低压线束分开布置，不能以金属包箍固定导线，穿过骨架、大梁必须加装可靠的绝缘防磨损护套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隐蔽部位电线束加装阻燃绝缘套管并可靠固定，线束长度留有一定的余量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线束固定牢固标记清晰，走向合理安装规范，整根线束不得拼接，线束每隔300 mm安装固定扣攀。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电器接头牢固并有绝缘护套，所有电线接插件采用AMP产品（底盘部分防水型）。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单独在安装一套部标标准行车记录仪，带可打印行车记录仪；大屏幕中文显示，进口或国产模块；具故障自检、预报、行驶速度超40KM 语音自动报警提示；具有通讯、过载过流短路保护。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采用全芯片数字配电管理模块，包括大电流电源管理模块和中电流电源管理模块。低压配电系统取消所有保险片和继电器。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总线控制模块舱必须满足防震、防水、防尘、防静电的要求，电器线路采用镀锡铜线，预留部分备用线路或接线柱，并且接线柱或接插件前端装有保险装置，满足增加用电器的需求</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1、刷卡机、GPS系统、车载监控系统电源线采用双线制；要求电源从主配电板单独接入，安装单独保险，有专用接</w:t>
            </w:r>
            <w:r>
              <w:rPr>
                <w:rFonts w:hint="eastAsia" w:ascii="宋体" w:hAnsi="宋体" w:eastAsia="宋体" w:cs="宋体"/>
                <w:b w:val="0"/>
                <w:bCs w:val="0"/>
                <w:color w:val="auto"/>
                <w:sz w:val="24"/>
                <w:szCs w:val="24"/>
                <w:highlight w:val="none"/>
              </w:rPr>
              <w:t>地线，电源线为车辆总闸开启电源打开，长通电。</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2、电喇叭为</w:t>
            </w:r>
            <w:r>
              <w:rPr>
                <w:rFonts w:hint="eastAsia" w:ascii="宋体" w:hAnsi="宋体" w:eastAsia="宋体" w:cs="宋体"/>
                <w:color w:val="auto"/>
                <w:sz w:val="24"/>
                <w:szCs w:val="24"/>
                <w:highlight w:val="none"/>
                <w:lang w:eastAsia="zh-CN"/>
              </w:rPr>
              <w:t>双音</w:t>
            </w:r>
            <w:r>
              <w:rPr>
                <w:rFonts w:hint="eastAsia" w:ascii="宋体" w:hAnsi="宋体" w:eastAsia="宋体" w:cs="宋体"/>
                <w:color w:val="auto"/>
                <w:sz w:val="24"/>
                <w:szCs w:val="24"/>
                <w:highlight w:val="none"/>
              </w:rPr>
              <w:t>蜗牛式</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6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灯具与开关</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大灯罩</w:t>
            </w:r>
            <w:r>
              <w:rPr>
                <w:rFonts w:hint="eastAsia" w:ascii="宋体" w:hAnsi="宋体" w:eastAsia="宋体" w:cs="宋体"/>
                <w:color w:val="auto"/>
                <w:sz w:val="24"/>
                <w:szCs w:val="24"/>
                <w:highlight w:val="none"/>
                <w:lang w:eastAsia="zh-CN"/>
              </w:rPr>
              <w:t>保证</w:t>
            </w:r>
            <w:r>
              <w:rPr>
                <w:rFonts w:hint="eastAsia" w:ascii="宋体" w:hAnsi="宋体" w:eastAsia="宋体" w:cs="宋体"/>
                <w:color w:val="auto"/>
                <w:sz w:val="24"/>
                <w:szCs w:val="24"/>
                <w:highlight w:val="none"/>
              </w:rPr>
              <w:t>6年内不变色、龟裂，大灯亮度必须符合雨天夜间行车照明要求，前照灯角度可调，室内采用LED照明灯，车厢内灯采用扁平弧形LED灯管，前后贯通，布置在空调风道内侧边缘</w:t>
            </w: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采用转向柱安装组合式开关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包括前照（大）灯、示宽（小）灯、转向灯、雨刮器、点火开关等控制开关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各类操纵开关安装和排列位置应方便驾驶员识别与操作；安装备用开关1-2个</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下客门上方中间部位安装一个门灯（小灯打开，开门时亮）</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蓄电池</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采用2只12V\</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Ah以上免维护蓄电池，蓄电池舱内电器件和线束固定牢固、排列整齐、安全可靠，蓄电池“+”或“-”级接柱连接线束加装过载断电保险装置。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蓄电池舱内电器件和线束固定牢固、排列整齐、安全可靠</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车身漆色图案</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车身油漆采用环保汽车专用漆；漆色图案按买方要求配色喷涂，厂家提供多套漆色设计图案，供使用方选择。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车身结构与车身型材</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全承载车身（须提供相关证明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、轻量化设计，一级踏步高度≤380mm。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车身骨架整体强度满足公交客车运行寿命及高峰超载的要求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车身蒙皮采用辊压涨拉蒙皮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整车（包括车身主要覆盖件、骨架、底盘车架、前后围）经阴极电泳工艺处理。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整车使用防火阻燃材料，不得使用聚氨酯发泡。车顶棚骨架、侧围骨架使用防火隔热闭泡材料，车顶厚度不低于32mm；底盘、轮毂使用乙烯基隔声降噪材料或气凝胶防火材料；电池舱或发动机舱使用气凝胶防火材料。技术性能必须达到 GB38262-2019《汽车内饰材料燃烧特性》，防火等级A0级，内饰材料须提供国家认可机构报告。防火要求：车顶、侧围和电池舱防火阻燃材料氧指数≧39%，底盘隔音防火材料氧指数≧32%，</w:t>
            </w:r>
            <w:r>
              <w:rPr>
                <w:rFonts w:hint="eastAsia" w:ascii="宋体" w:hAnsi="宋体" w:eastAsia="宋体" w:cs="宋体"/>
                <w:color w:val="auto"/>
                <w:sz w:val="24"/>
                <w:szCs w:val="24"/>
                <w:highlight w:val="none"/>
              </w:rPr>
              <w:t>并提供国家认可的第三方报告为准</w:t>
            </w:r>
            <w:r>
              <w:rPr>
                <w:rFonts w:hint="eastAsia" w:ascii="宋体" w:hAnsi="宋体" w:eastAsia="宋体" w:cs="宋体"/>
                <w:color w:val="auto"/>
                <w:sz w:val="24"/>
                <w:szCs w:val="24"/>
                <w:highlight w:val="none"/>
                <w:lang w:val="en-US" w:eastAsia="zh-CN"/>
              </w:rPr>
              <w:t>。产品要求防潮、抗菌、防霉、无纤维，环保。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车顶骨架加密，车身骨架必须保证终生不断裂、不变形、不锈蚀、不腐烂；防止出现车顶漏（渗）水问题。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轮毂部位车身提供足够的强度以防止乘客受到爆胎的损伤，表层喷涂防腐、防水材料，防止出现轮毂部位漏（渗）水问题，前、后轮毂挡泥板橡胶皮离地15CM以内。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乘客可触及的车身内外部件、构件不应有尖角和锐边，车身外导水槽等不应有尖角和锐边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拖车钩与支车点</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车辆纵梁前部适当位置配伸缩式拖车钩，使用方便可靠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纵梁前部区域的各类管路、线束的布置应充分考虑拖车时的运动干涉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在前、后桥附近底部空间，应根据车架结构特点设置承重梁，在车身左右两侧设有多个支车点，并设支车点标志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前后围</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前后围采用薄钢板冲压成型或玻璃钢结构检修方便；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前后电子路牌窗透光区最小尺寸规格满</w:t>
            </w:r>
            <w:r>
              <w:rPr>
                <w:rFonts w:hint="eastAsia" w:ascii="宋体" w:hAnsi="宋体" w:eastAsia="宋体" w:cs="宋体"/>
                <w:b w:val="0"/>
                <w:bCs w:val="0"/>
                <w:color w:val="auto"/>
                <w:sz w:val="24"/>
                <w:szCs w:val="24"/>
                <w:highlight w:val="none"/>
              </w:rPr>
              <w:t>足配装7字以上汉字电子路牌结构需要，车内前后路牌检视窗盖板与车箱内饰板胶条隔垫，防止车辆</w:t>
            </w:r>
            <w:r>
              <w:rPr>
                <w:rFonts w:hint="eastAsia" w:ascii="宋体" w:hAnsi="宋体" w:eastAsia="宋体" w:cs="宋体"/>
                <w:color w:val="auto"/>
                <w:sz w:val="24"/>
                <w:szCs w:val="24"/>
                <w:highlight w:val="none"/>
              </w:rPr>
              <w:t>行驶产生振动噪音。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p>
        </w:tc>
        <w:tc>
          <w:tcPr>
            <w:tcW w:w="16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车厢</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前风窗为双层夹胶全景隔热玻璃，配卷缩式前风档遮阳帘；后风窗为钢化玻璃；均采用粘接式结构。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车边两侧单一扇独立玻璃设置一扇内藏粘贴式推拉窗，窗框底边、双定位槽固定（用图说明）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粘接处使用进口玻璃粘接胶、填缝胶、阻尼胶</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车门</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乘客门执行机构能够输出门状态信号（开门、关门状态信号功能要求），信号输入到车身CAN总线模块</w:t>
            </w:r>
            <w:r>
              <w:rPr>
                <w:rFonts w:hint="eastAsia" w:ascii="宋体" w:hAnsi="宋体" w:eastAsia="宋体" w:cs="宋体"/>
                <w:color w:val="auto"/>
                <w:sz w:val="24"/>
                <w:szCs w:val="24"/>
                <w:highlight w:val="none"/>
                <w:lang w:eastAsia="zh-CN"/>
              </w:rPr>
              <w:t>。</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折叠</w:t>
            </w:r>
            <w:r>
              <w:rPr>
                <w:rFonts w:hint="eastAsia" w:ascii="宋体" w:hAnsi="宋体" w:eastAsia="宋体" w:cs="宋体"/>
                <w:b w:val="0"/>
                <w:bCs w:val="0"/>
                <w:color w:val="auto"/>
                <w:sz w:val="24"/>
                <w:szCs w:val="24"/>
                <w:highlight w:val="none"/>
              </w:rPr>
              <w:t>式</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内摆臂或</w:t>
            </w:r>
            <w:r>
              <w:rPr>
                <w:rFonts w:hint="eastAsia" w:ascii="宋体" w:hAnsi="宋体" w:eastAsia="宋体" w:cs="宋体"/>
                <w:b w:val="0"/>
                <w:bCs w:val="0"/>
                <w:color w:val="auto"/>
                <w:sz w:val="24"/>
                <w:szCs w:val="24"/>
                <w:highlight w:val="none"/>
                <w:lang w:eastAsia="zh-CN"/>
              </w:rPr>
              <w:t>塞拉门</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rPr>
              <w:t>结构，</w:t>
            </w:r>
            <w:r>
              <w:rPr>
                <w:rFonts w:hint="eastAsia" w:ascii="宋体" w:hAnsi="宋体" w:eastAsia="宋体" w:cs="宋体"/>
                <w:color w:val="auto"/>
                <w:sz w:val="24"/>
                <w:szCs w:val="24"/>
                <w:highlight w:val="none"/>
              </w:rPr>
              <w:t>采用气动设内外应急阀，门玻为钢化玻璃带防护杆，乘客门关闭时应装有速度和缓冲调节装置，性能可靠、维护方便，门泵驱动系统采用电控气动方式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车门未关，车辆不能起步装置。</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乘客门分别标注“上客门”和“下客门”标识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车门内“紧急开门应急阀”装在驾驶区；前或中车门内外各1只，要求安装位置明显，“紧急开门应急阀”应设明显使用说明和标识</w:t>
            </w:r>
            <w:r>
              <w:rPr>
                <w:rFonts w:hint="eastAsia" w:ascii="宋体" w:hAnsi="宋体" w:eastAsia="宋体" w:cs="宋体"/>
                <w:color w:val="auto"/>
                <w:sz w:val="24"/>
                <w:szCs w:val="24"/>
                <w:highlight w:val="none"/>
                <w:lang w:eastAsia="zh-CN"/>
              </w:rPr>
              <w:t>。</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安装车速大于5km/h时车门无法打开的装置</w:t>
            </w:r>
            <w:r>
              <w:rPr>
                <w:rFonts w:hint="eastAsia" w:ascii="宋体" w:hAnsi="宋体" w:eastAsia="宋体" w:cs="宋体"/>
                <w:color w:val="auto"/>
                <w:sz w:val="24"/>
                <w:szCs w:val="24"/>
                <w:highlight w:val="none"/>
                <w:lang w:eastAsia="zh-CN"/>
              </w:rPr>
              <w:t>。</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备注：单门车型必须采用开中门方式，并配有安全门。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车门后有护栏板，乘客门踏步区域采用黄色踏步专用地板革，带红色“站立禁区”字样。</w:t>
            </w:r>
            <w:r>
              <w:rPr>
                <w:rFonts w:hint="eastAsia" w:ascii="宋体" w:hAnsi="宋体" w:cs="宋体"/>
                <w:color w:val="auto"/>
                <w:sz w:val="24"/>
                <w:szCs w:val="24"/>
                <w:highlight w:val="none"/>
                <w:lang w:val="en-US" w:eastAsia="zh-CN"/>
              </w:rPr>
              <w:t>上客门安装前门遥控方便驾驶员开门。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倒车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下客门监视图像</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交报站彩色显示屏可显示中门下客监视图像（公交报站彩色显示屏兼容，倒车摄像头安装位置合理易维修、易更换，建议安装在车尾部厢内）。下客门监视图像接入CAN总线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开启下客门开关时，显示下客门图像通过CAN总线接入公交彩色调度显示屏。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乘客座椅</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1.座椅内置高强度骨架，衬板采用一体式发泡，坐垫可快速拆卸，便于清洗。</w:t>
            </w:r>
          </w:p>
          <w:p>
            <w:pPr>
              <w:pStyle w:val="2"/>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2.模块化设计，适用各种车型。</w:t>
            </w:r>
          </w:p>
          <w:p>
            <w:pPr>
              <w:pStyle w:val="2"/>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3.造型符合人体工程学 。   </w:t>
            </w:r>
          </w:p>
          <w:p>
            <w:pPr>
              <w:pStyle w:val="2"/>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4.底梁及侧扶采用高强度铝镁合金。</w:t>
            </w:r>
          </w:p>
          <w:p>
            <w:pPr>
              <w:pStyle w:val="2"/>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5.采用高档耐磨皮革。</w:t>
            </w:r>
          </w:p>
          <w:p>
            <w:pPr>
              <w:pStyle w:val="2"/>
              <w:rPr>
                <w:rFonts w:hint="eastAsia"/>
                <w:highlight w:val="none"/>
                <w:lang w:eastAsia="zh-CN"/>
              </w:rPr>
            </w:pPr>
            <w:r>
              <w:rPr>
                <w:rFonts w:hint="eastAsia" w:ascii="宋体" w:hAnsi="宋体" w:cs="宋体"/>
                <w:b w:val="0"/>
                <w:bCs w:val="0"/>
                <w:color w:val="auto"/>
                <w:sz w:val="24"/>
                <w:szCs w:val="24"/>
                <w:highlight w:val="none"/>
                <w:lang w:val="en-US" w:eastAsia="zh-CN"/>
              </w:rPr>
              <w:t>6.配备三点式安全带。</w:t>
            </w:r>
          </w:p>
          <w:p>
            <w:pPr>
              <w:pStyle w:val="2"/>
              <w:rPr>
                <w:rFonts w:hint="default"/>
                <w:highlight w:val="none"/>
                <w:lang w:val="en-US" w:eastAsia="zh-CN"/>
              </w:rPr>
            </w:pPr>
            <w:r>
              <w:rPr>
                <w:rFonts w:hint="eastAsia" w:ascii="宋体" w:hAnsi="宋体" w:cs="宋体"/>
                <w:b w:val="0"/>
                <w:bCs w:val="0"/>
                <w:color w:val="auto"/>
                <w:sz w:val="24"/>
                <w:szCs w:val="24"/>
                <w:highlight w:val="none"/>
                <w:lang w:val="en-US" w:eastAsia="zh-CN"/>
              </w:rPr>
              <w:t>7.头枕部位增设安全扶手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公交座椅数量、颜色、设爱心专座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式样及排列方式事先经买方确认，</w:t>
            </w:r>
            <w:r>
              <w:rPr>
                <w:rFonts w:hint="eastAsia" w:ascii="宋体" w:hAnsi="宋体" w:eastAsia="宋体" w:cs="宋体"/>
                <w:bCs/>
                <w:color w:val="auto"/>
                <w:sz w:val="24"/>
                <w:szCs w:val="24"/>
                <w:highlight w:val="none"/>
              </w:rPr>
              <w:t>终身质保（</w:t>
            </w:r>
            <w:r>
              <w:rPr>
                <w:rFonts w:hint="eastAsia" w:ascii="宋体" w:hAnsi="宋体" w:eastAsia="宋体" w:cs="宋体"/>
                <w:bCs/>
                <w:color w:val="auto"/>
                <w:sz w:val="24"/>
                <w:szCs w:val="24"/>
                <w:highlight w:val="none"/>
                <w:lang w:eastAsia="zh-CN"/>
              </w:rPr>
              <w:t>包软座皮革破损</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司机座椅</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司机椅（外表皮革包围）前后、上下、靠背角度、气囊减震可调；三点式安全带自动伸缩功能，坐垫宽度大于等于440MM</w:t>
            </w: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地板</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地板革：</w:t>
            </w:r>
            <w:r>
              <w:rPr>
                <w:rFonts w:hint="eastAsia" w:ascii="宋体" w:hAnsi="宋体" w:eastAsia="宋体" w:cs="宋体"/>
                <w:color w:val="auto"/>
                <w:sz w:val="24"/>
                <w:szCs w:val="24"/>
                <w:highlight w:val="none"/>
                <w:lang w:val="en-US" w:eastAsia="zh-CN"/>
              </w:rPr>
              <w:t>高质量</w:t>
            </w:r>
            <w:r>
              <w:rPr>
                <w:rFonts w:hint="eastAsia" w:ascii="宋体" w:hAnsi="宋体" w:eastAsia="宋体" w:cs="宋体"/>
                <w:color w:val="auto"/>
                <w:sz w:val="24"/>
                <w:szCs w:val="24"/>
                <w:highlight w:val="none"/>
              </w:rPr>
              <w:t>石英砂地板革产品，整车（车箱前、中、后）地板革铺垫延伸到侧围板向上50CM 或座椅底部(从地板向上计)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地板骨架加密平整，设有检修口和盖板，方便维修，PVC地板厚度大于等于18mm ,地板与底架之间涂装防震胶,</w:t>
            </w:r>
            <w:r>
              <w:rPr>
                <w:rFonts w:hint="eastAsia" w:ascii="宋体" w:hAnsi="宋体" w:eastAsia="宋体" w:cs="宋体"/>
                <w:color w:val="auto"/>
                <w:sz w:val="24"/>
                <w:szCs w:val="24"/>
                <w:highlight w:val="none"/>
              </w:rPr>
              <w:t>整体经有效</w:t>
            </w:r>
            <w:r>
              <w:rPr>
                <w:rFonts w:hint="eastAsia" w:ascii="宋体" w:hAnsi="宋体" w:eastAsia="宋体" w:cs="宋体"/>
                <w:color w:val="auto"/>
                <w:sz w:val="24"/>
                <w:szCs w:val="24"/>
                <w:highlight w:val="none"/>
                <w:lang w:eastAsia="zh-CN"/>
              </w:rPr>
              <w:t>阻燃、</w:t>
            </w:r>
            <w:r>
              <w:rPr>
                <w:rFonts w:hint="eastAsia" w:ascii="宋体" w:hAnsi="宋体" w:eastAsia="宋体" w:cs="宋体"/>
                <w:color w:val="auto"/>
                <w:sz w:val="24"/>
                <w:szCs w:val="24"/>
                <w:highlight w:val="none"/>
              </w:rPr>
              <w:t>隔热、降噪处理</w:t>
            </w:r>
            <w:r>
              <w:rPr>
                <w:rFonts w:hint="eastAsia" w:ascii="宋体" w:hAnsi="宋体" w:eastAsia="宋体" w:cs="宋体"/>
                <w:i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全景</w:t>
            </w:r>
            <w:r>
              <w:rPr>
                <w:rFonts w:hint="eastAsia" w:ascii="宋体" w:hAnsi="宋体" w:eastAsia="宋体" w:cs="宋体"/>
                <w:color w:val="auto"/>
                <w:sz w:val="24"/>
                <w:szCs w:val="24"/>
                <w:highlight w:val="none"/>
                <w:lang w:eastAsia="zh-CN"/>
              </w:rPr>
              <w:t>风道、</w:t>
            </w:r>
            <w:r>
              <w:rPr>
                <w:rFonts w:hint="eastAsia" w:ascii="宋体" w:hAnsi="宋体" w:eastAsia="宋体" w:cs="宋体"/>
                <w:color w:val="auto"/>
                <w:sz w:val="24"/>
                <w:szCs w:val="24"/>
                <w:highlight w:val="none"/>
              </w:rPr>
              <w:t>内饰</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rPr>
              <w:t>外翻式铝合金全景风道（广告灯箱内照明光源为LED灯），并经隔热和避震处理，安装牢固、接口平整无缝隙</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rPr>
              <w:t>冷风道不得与前、后路牌窗贯通，表面平整圆顺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iCs/>
                <w:color w:val="auto"/>
                <w:sz w:val="24"/>
                <w:szCs w:val="24"/>
                <w:highlight w:val="none"/>
              </w:rPr>
              <w:t>排水管布置合理，防止冷凝水排入车内</w:t>
            </w:r>
            <w:r>
              <w:rPr>
                <w:rFonts w:hint="eastAsia" w:ascii="宋体" w:hAnsi="宋体" w:eastAsia="宋体" w:cs="宋体"/>
                <w:i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内顶采用优质吸音塑板，侧围采用阻燃PVC深色双贴面板，固定铆钉间距加密（每排2个以上）防止振动，颜色与整个车厢环境相协调，表面光滑易清理</w:t>
            </w: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驾驶区、控制台</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整体式仪表台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仪表台固定底板全密封防止漏风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不得开裂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仪表台上仪表、开关、按钮、手台柄位置合理，便于操纵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应充分考虑满足配装电子报站器、车载监控、GPS车载机、IC卡车载机等布置要求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驾驶室设置符合国家最新标准</w:t>
            </w:r>
            <w:r>
              <w:rPr>
                <w:rFonts w:hint="eastAsia" w:ascii="宋体" w:hAnsi="宋体" w:eastAsia="宋体" w:cs="宋体"/>
                <w:color w:val="auto"/>
                <w:sz w:val="24"/>
                <w:szCs w:val="24"/>
                <w:highlight w:val="none"/>
                <w:lang w:eastAsia="zh-CN"/>
              </w:rPr>
              <w:t>司机包围</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后视镜</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（1）车辆外侧安装【左短右长杆式手动后视镜】，车辆行驶时不应有明显的抖动，视野清晰。颜色与车辆整体协调。</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（2）前顶右上角适当位置安装车内后视镜（大视角内视镜），便于驾驶员观察车厢内部。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司机窗</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为内藏粘贴式，玻璃框底边、侧边双定位槽固定，由前向后拉车窗，卷缩式下拉自锁式侧窗遮阳帘，窗外加设档水槽。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顶风窗</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安全顶窗具有应急出口功能，满足应急出口尺寸要求</w:t>
            </w:r>
            <w:r>
              <w:rPr>
                <w:rFonts w:hint="eastAsia" w:ascii="宋体" w:hAnsi="宋体" w:eastAsia="宋体" w:cs="宋体"/>
                <w:color w:val="auto"/>
                <w:sz w:val="24"/>
                <w:szCs w:val="24"/>
                <w:highlight w:val="none"/>
                <w:lang w:eastAsia="zh-CN"/>
              </w:rPr>
              <w:t>，带排风功能</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下车照明</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乘客门设台阶灯，开门后自动发亮。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扶栏、护板、吊环、USB充电</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整车采用高强度铝合金扶栏，扶手各连接部位的螺栓加装保护螺套</w:t>
            </w:r>
            <w:r>
              <w:rPr>
                <w:rFonts w:hint="eastAsia" w:ascii="宋体" w:hAnsi="宋体" w:eastAsia="宋体" w:cs="宋体"/>
                <w:color w:val="auto"/>
                <w:sz w:val="24"/>
                <w:szCs w:val="24"/>
                <w:highlight w:val="none"/>
                <w:lang w:val="en-US" w:eastAsia="zh-CN"/>
              </w:rPr>
              <w:t>,扶手关键部位采用软包处理，防止乘客磕碰</w:t>
            </w:r>
            <w:r>
              <w:rPr>
                <w:rFonts w:hint="eastAsia" w:ascii="宋体" w:hAnsi="宋体" w:eastAsia="宋体" w:cs="宋体"/>
                <w:color w:val="auto"/>
                <w:sz w:val="24"/>
                <w:szCs w:val="24"/>
                <w:highlight w:val="none"/>
              </w:rPr>
              <w:t>；上车门处加设一根铝合金杆用于安装IC刷卡机。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装广告型吊环（卡槽广告易更换），数量按标配。车厢两侧、仪表台安装USB插口。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侧窗帘</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蓝色垂直折叠式侧窗帘【涤纶材质】带搭扣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雨刮</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对刮双向卧倒式，带喷淋、快慢档装置,括刷面积满足驾驶员视野要求。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9</w:t>
            </w:r>
          </w:p>
        </w:tc>
        <w:tc>
          <w:tcPr>
            <w:tcW w:w="16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车内导乘屏</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线路显示牌</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车内</w:t>
            </w:r>
            <w:r>
              <w:rPr>
                <w:rFonts w:hint="eastAsia" w:ascii="宋体" w:hAnsi="宋体" w:eastAsia="宋体" w:cs="宋体"/>
                <w:color w:val="auto"/>
                <w:sz w:val="24"/>
                <w:szCs w:val="24"/>
                <w:highlight w:val="none"/>
                <w:lang w:val="en-US" w:eastAsia="zh-CN"/>
              </w:rPr>
              <w:t>LCD</w:t>
            </w:r>
            <w:r>
              <w:rPr>
                <w:rFonts w:hint="eastAsia" w:ascii="宋体" w:hAnsi="宋体" w:eastAsia="宋体" w:cs="宋体"/>
                <w:color w:val="auto"/>
                <w:sz w:val="24"/>
                <w:szCs w:val="24"/>
                <w:highlight w:val="none"/>
              </w:rPr>
              <w:t>显示屏（导乘屏）</w:t>
            </w:r>
            <w:r>
              <w:rPr>
                <w:rFonts w:hint="eastAsia" w:ascii="宋体" w:hAnsi="宋体" w:eastAsia="宋体" w:cs="宋体"/>
                <w:b w:val="0"/>
                <w:bCs w:val="0"/>
                <w:color w:val="auto"/>
                <w:sz w:val="24"/>
                <w:szCs w:val="24"/>
                <w:highlight w:val="none"/>
              </w:rPr>
              <w:t>32寸以上</w:t>
            </w:r>
            <w:r>
              <w:rPr>
                <w:rFonts w:hint="eastAsia" w:ascii="宋体" w:hAnsi="宋体" w:eastAsia="宋体" w:cs="宋体"/>
                <w:b w:val="0"/>
                <w:bCs w:val="0"/>
                <w:color w:val="auto"/>
                <w:sz w:val="24"/>
                <w:szCs w:val="24"/>
                <w:highlight w:val="none"/>
                <w:lang w:val="en-US" w:eastAsia="zh-CN"/>
              </w:rPr>
              <w:t>,安装在驾驶座后方，支持远程数据推送功能，与采购人提供的车载调度屏及车载终端调度一体机共享一张流量卡，</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采购人提供的调度屏</w:t>
            </w:r>
            <w:r>
              <w:rPr>
                <w:rFonts w:hint="eastAsia" w:ascii="宋体" w:hAnsi="宋体" w:eastAsia="宋体" w:cs="宋体"/>
                <w:color w:val="auto"/>
                <w:sz w:val="24"/>
                <w:szCs w:val="24"/>
                <w:highlight w:val="none"/>
              </w:rPr>
              <w:t>联动，</w:t>
            </w:r>
            <w:r>
              <w:rPr>
                <w:rFonts w:hint="eastAsia" w:ascii="宋体" w:hAnsi="宋体" w:eastAsia="宋体" w:cs="宋体"/>
                <w:color w:val="auto"/>
                <w:sz w:val="24"/>
                <w:szCs w:val="24"/>
                <w:highlight w:val="none"/>
                <w:lang w:eastAsia="zh-CN"/>
              </w:rPr>
              <w:t>可通过采购人当前使用的调度系统远程下发更改显示内容，</w:t>
            </w:r>
            <w:r>
              <w:rPr>
                <w:rFonts w:hint="eastAsia" w:ascii="宋体" w:hAnsi="宋体" w:eastAsia="宋体" w:cs="宋体"/>
                <w:color w:val="auto"/>
                <w:sz w:val="24"/>
                <w:szCs w:val="24"/>
                <w:highlight w:val="none"/>
              </w:rPr>
              <w:t>车内显示到站信息、广告服务用语，显示屏必须做好防护装置。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vMerge w:val="continue"/>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8378"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线路显示牌:前、</w:t>
            </w:r>
            <w:r>
              <w:rPr>
                <w:rFonts w:hint="eastAsia" w:ascii="宋体" w:hAnsi="宋体" w:eastAsia="宋体" w:cs="宋体"/>
                <w:color w:val="auto"/>
                <w:sz w:val="24"/>
                <w:szCs w:val="24"/>
                <w:highlight w:val="none"/>
                <w:lang w:eastAsia="zh-CN"/>
              </w:rPr>
              <w:t>腰、</w:t>
            </w:r>
            <w:r>
              <w:rPr>
                <w:rFonts w:hint="eastAsia" w:ascii="宋体" w:hAnsi="宋体" w:eastAsia="宋体" w:cs="宋体"/>
                <w:color w:val="auto"/>
                <w:sz w:val="24"/>
                <w:szCs w:val="24"/>
                <w:highlight w:val="none"/>
              </w:rPr>
              <w:t>后电子路牌全汉显</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个字，16*16点阵,亮度可调汉显路牌，与</w:t>
            </w:r>
            <w:r>
              <w:rPr>
                <w:rFonts w:hint="eastAsia" w:ascii="宋体" w:hAnsi="宋体" w:eastAsia="宋体" w:cs="宋体"/>
                <w:color w:val="auto"/>
                <w:sz w:val="24"/>
                <w:szCs w:val="24"/>
                <w:highlight w:val="none"/>
                <w:lang w:val="en-US" w:eastAsia="zh-CN"/>
              </w:rPr>
              <w:t>采购人提供的调度屏</w:t>
            </w:r>
            <w:r>
              <w:rPr>
                <w:rFonts w:hint="eastAsia" w:ascii="宋体" w:hAnsi="宋体" w:eastAsia="宋体" w:cs="宋体"/>
                <w:color w:val="auto"/>
                <w:sz w:val="24"/>
                <w:szCs w:val="24"/>
                <w:highlight w:val="none"/>
              </w:rPr>
              <w:t>联动，</w:t>
            </w:r>
            <w:r>
              <w:rPr>
                <w:rFonts w:hint="eastAsia" w:ascii="宋体" w:hAnsi="宋体" w:eastAsia="宋体" w:cs="宋体"/>
                <w:color w:val="auto"/>
                <w:sz w:val="24"/>
                <w:szCs w:val="24"/>
                <w:highlight w:val="none"/>
                <w:lang w:eastAsia="zh-CN"/>
              </w:rPr>
              <w:t>可通过采购人当前使用的调度系统远程下发更改显示内容，</w:t>
            </w:r>
            <w:r>
              <w:rPr>
                <w:rFonts w:hint="eastAsia" w:ascii="宋体" w:hAnsi="宋体" w:eastAsia="宋体" w:cs="宋体"/>
                <w:color w:val="auto"/>
                <w:sz w:val="24"/>
                <w:szCs w:val="24"/>
                <w:highlight w:val="none"/>
              </w:rPr>
              <w:t>均可显示显示线路、故障回场、停止营运等信息，尾牌含刹车、转弯、倒车提示功能</w:t>
            </w:r>
            <w:r>
              <w:rPr>
                <w:rFonts w:hint="eastAsia" w:ascii="宋体" w:hAnsi="宋体" w:eastAsia="宋体" w:cs="宋体"/>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vMerge w:val="continue"/>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p>
        </w:tc>
        <w:tc>
          <w:tcPr>
            <w:tcW w:w="1657"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智慧公交设施安装</w:t>
            </w:r>
          </w:p>
        </w:tc>
        <w:tc>
          <w:tcPr>
            <w:tcW w:w="8378"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根据采购人提供的车载终端调度一体机、7寸LCD彩色调度屏等进行线路布置、安装等工作，终端一体机安装在驾驶座后工具箱内，GPS天线安装A柱上，要求易检修、易更换，</w:t>
            </w:r>
            <w:r>
              <w:rPr>
                <w:rFonts w:hint="eastAsia" w:ascii="宋体" w:hAnsi="宋体" w:eastAsia="宋体" w:cs="宋体"/>
                <w:b w:val="0"/>
                <w:bCs w:val="0"/>
                <w:color w:val="auto"/>
                <w:sz w:val="24"/>
                <w:szCs w:val="24"/>
                <w:highlight w:val="none"/>
              </w:rPr>
              <w:t>调度屏安装方式为嵌入式，能够实现中门开门显示</w:t>
            </w:r>
            <w:r>
              <w:rPr>
                <w:rFonts w:hint="eastAsia" w:ascii="宋体" w:hAnsi="宋体" w:eastAsia="宋体" w:cs="宋体"/>
                <w:color w:val="auto"/>
                <w:sz w:val="24"/>
                <w:szCs w:val="24"/>
                <w:highlight w:val="none"/>
                <w:lang w:val="en-US" w:eastAsia="zh-CN"/>
              </w:rPr>
              <w:t>；安装8路彩色红外金属摄像机拍摄(1、路面（ADAS摄像头）2、上客门及投币机3、驾驶员4、驾驶员（ADAS摄像头）5、车内前部向后 6、车内后部向前、7、下客门8、其他待定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w:t>
            </w:r>
          </w:p>
        </w:tc>
        <w:tc>
          <w:tcPr>
            <w:tcW w:w="1657"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360环视系统</w:t>
            </w:r>
          </w:p>
        </w:tc>
        <w:tc>
          <w:tcPr>
            <w:tcW w:w="8378"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1、整车全景环视监控系统，满足3D成像，4路高清摄像头安装在车辆四周，配套4个摄像头，主机与摄像头通过航空头延长线进行连接。采用独立显示屏显示。</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2、3D全景AVM无缝、无盲区拼接,四路720P AHD高清鱼眼摄像头输入，拼接处图像自然无鬼影。</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3、视距无穷远,近处能显示到汽车轮廓边缘，远处能显示到地面灭点。</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4、可变换自由视角,自动四视角，手动八视角，根据车身信号（转向和倒车）自动切换视角。</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5、行车记录,前后左右全方位行车记录，自带TF卡，支持64G及以上存储，视频文件支持本地查看、处理。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w:t>
            </w:r>
          </w:p>
        </w:tc>
        <w:tc>
          <w:tcPr>
            <w:tcW w:w="1657"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车后广告屏</w:t>
            </w:r>
          </w:p>
        </w:tc>
        <w:tc>
          <w:tcPr>
            <w:tcW w:w="8378"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车后档位置设置城市文明宣传广告屏，尺寸由采购人确定。车内后风档安装广告显示屏，64x320点阵，支持文字，图片、动画、视频等显示模式，无线模块通讯方式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与车载调度终端一体机共享一张流量卡，并与现有调度系统无缝对接。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6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2</w:t>
            </w:r>
          </w:p>
        </w:tc>
        <w:tc>
          <w:tcPr>
            <w:tcW w:w="1657"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车载移动支付</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负责</w:t>
            </w:r>
            <w:r>
              <w:rPr>
                <w:rFonts w:hint="eastAsia" w:ascii="宋体" w:hAnsi="宋体" w:eastAsia="宋体" w:cs="宋体"/>
                <w:color w:val="auto"/>
                <w:sz w:val="24"/>
                <w:szCs w:val="24"/>
                <w:highlight w:val="none"/>
              </w:rPr>
              <w:t>国朗车载</w:t>
            </w:r>
            <w:r>
              <w:rPr>
                <w:rFonts w:hint="eastAsia" w:ascii="宋体" w:hAnsi="宋体" w:eastAsia="宋体" w:cs="宋体"/>
                <w:color w:val="auto"/>
                <w:sz w:val="24"/>
                <w:szCs w:val="24"/>
                <w:highlight w:val="none"/>
                <w:lang w:eastAsia="zh-CN"/>
              </w:rPr>
              <w:t>全支付一体机支架、电源线采购及安装</w:t>
            </w:r>
            <w:r>
              <w:rPr>
                <w:rFonts w:hint="eastAsia" w:ascii="宋体" w:hAnsi="宋体" w:eastAsia="宋体" w:cs="宋体"/>
                <w:color w:val="auto"/>
                <w:sz w:val="24"/>
                <w:szCs w:val="24"/>
                <w:highlight w:val="none"/>
              </w:rPr>
              <w:t>。注：国朗车载收费机为采购人统一使用的产品,联系方式：</w:t>
            </w:r>
            <w:r>
              <w:rPr>
                <w:rFonts w:hint="eastAsia" w:ascii="宋体" w:hAnsi="宋体" w:eastAsia="宋体" w:cs="宋体"/>
                <w:color w:val="auto"/>
                <w:sz w:val="24"/>
                <w:szCs w:val="24"/>
                <w:highlight w:val="none"/>
                <w:lang w:eastAsia="zh-CN"/>
              </w:rPr>
              <w:t>黄先生，</w:t>
            </w:r>
            <w:r>
              <w:rPr>
                <w:rFonts w:hint="eastAsia" w:ascii="宋体" w:hAnsi="宋体" w:eastAsia="宋体" w:cs="宋体"/>
                <w:color w:val="auto"/>
                <w:sz w:val="24"/>
                <w:szCs w:val="24"/>
                <w:highlight w:val="none"/>
                <w:lang w:val="en-US" w:eastAsia="zh-CN"/>
              </w:rPr>
              <w:t>18069857322</w:t>
            </w:r>
            <w:r>
              <w:rPr>
                <w:rFonts w:hint="eastAsia" w:ascii="宋体" w:hAnsi="宋体" w:eastAsia="宋体" w:cs="宋体"/>
                <w:color w:val="auto"/>
                <w:sz w:val="24"/>
                <w:szCs w:val="24"/>
                <w:highlight w:val="none"/>
              </w:rPr>
              <w:t>。</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1套支架及电源线</w:t>
            </w:r>
            <w:r>
              <w:rPr>
                <w:rFonts w:hint="eastAsia" w:ascii="宋体" w:hAnsi="宋体" w:eastAsia="宋体" w:cs="宋体"/>
                <w:color w:val="auto"/>
                <w:sz w:val="24"/>
                <w:szCs w:val="24"/>
                <w:highlight w:val="none"/>
              </w:rPr>
              <w:t>合计价格</w:t>
            </w: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63" w:type="dxa"/>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43</w:t>
            </w:r>
          </w:p>
        </w:tc>
        <w:tc>
          <w:tcPr>
            <w:tcW w:w="1657" w:type="dxa"/>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投币机</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自动门投币机</w:t>
            </w:r>
            <w:r>
              <w:rPr>
                <w:rFonts w:hint="eastAsia" w:ascii="宋体" w:hAnsi="宋体" w:eastAsia="宋体" w:cs="宋体"/>
                <w:color w:val="auto"/>
                <w:sz w:val="24"/>
                <w:szCs w:val="24"/>
                <w:highlight w:val="none"/>
              </w:rPr>
              <w:t>外观尺寸</w:t>
            </w:r>
            <w:r>
              <w:rPr>
                <w:rFonts w:hint="eastAsia" w:ascii="宋体" w:hAnsi="宋体" w:eastAsia="宋体" w:cs="宋体"/>
                <w:color w:val="auto"/>
                <w:sz w:val="24"/>
                <w:szCs w:val="24"/>
                <w:highlight w:val="none"/>
                <w:lang w:eastAsia="zh-CN"/>
              </w:rPr>
              <w:t>小于等于</w:t>
            </w:r>
            <w:r>
              <w:rPr>
                <w:rFonts w:hint="eastAsia" w:ascii="宋体" w:hAnsi="宋体" w:eastAsia="宋体" w:cs="宋体"/>
                <w:color w:val="auto"/>
                <w:sz w:val="24"/>
                <w:szCs w:val="24"/>
                <w:highlight w:val="none"/>
                <w:lang w:val="en-US" w:eastAsia="zh-CN"/>
              </w:rPr>
              <w:t>260*290*1050</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val="en-US" w:eastAsia="zh-CN"/>
              </w:rPr>
              <w:t>支持定次、定时、定点开箱，可加装专用无线通讯模块，</w:t>
            </w:r>
            <w:r>
              <w:rPr>
                <w:rFonts w:hint="eastAsia" w:ascii="宋体" w:hAnsi="宋体" w:eastAsia="宋体" w:cs="宋体"/>
                <w:color w:val="auto"/>
                <w:sz w:val="24"/>
                <w:szCs w:val="24"/>
                <w:highlight w:val="none"/>
              </w:rPr>
              <w:t>底座高度可选，可以与各车型配套，公交车24V供电，标配</w:t>
            </w:r>
            <w:r>
              <w:rPr>
                <w:rFonts w:hint="eastAsia" w:ascii="宋体" w:hAnsi="宋体" w:eastAsia="宋体" w:cs="宋体"/>
                <w:color w:val="auto"/>
                <w:sz w:val="24"/>
                <w:szCs w:val="24"/>
                <w:highlight w:val="none"/>
                <w:lang w:val="en-US" w:eastAsia="zh-CN"/>
              </w:rPr>
              <w:t>1箱3</w:t>
            </w:r>
            <w:r>
              <w:rPr>
                <w:rFonts w:hint="eastAsia" w:ascii="宋体" w:hAnsi="宋体" w:eastAsia="宋体" w:cs="宋体"/>
                <w:color w:val="auto"/>
                <w:sz w:val="24"/>
                <w:szCs w:val="24"/>
                <w:highlight w:val="none"/>
              </w:rPr>
              <w:t>个内胆，使用电子锁内胆，冷轧板喷涂材质，自动翻板功能（根据公交车开关门或其他感应、通讯等），实现自动翻板功能；具有防震降噪设计，在车辆行驶直颠簸中不产生明显的金属碰撞、摩擦等噪声；</w:t>
            </w:r>
          </w:p>
          <w:p>
            <w:pPr>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内胆</w:t>
            </w:r>
            <w:r>
              <w:rPr>
                <w:rFonts w:hint="eastAsia" w:ascii="宋体" w:hAnsi="宋体" w:eastAsia="宋体" w:cs="宋体"/>
                <w:color w:val="auto"/>
                <w:sz w:val="24"/>
                <w:szCs w:val="24"/>
                <w:highlight w:val="none"/>
                <w:lang w:val="en-US" w:eastAsia="zh-CN"/>
              </w:rPr>
              <w:t>采用蜂窝状新型增强PC材料外壳，</w:t>
            </w:r>
            <w:r>
              <w:rPr>
                <w:rFonts w:hint="eastAsia" w:ascii="宋体" w:hAnsi="宋体" w:eastAsia="宋体" w:cs="宋体"/>
                <w:color w:val="auto"/>
                <w:sz w:val="24"/>
                <w:szCs w:val="24"/>
                <w:highlight w:val="none"/>
              </w:rPr>
              <w:t>安装电子标签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开箱采用非接触CPU卡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按规定配置，含备用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，不低于128位加密密码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搭配自助收银柜，实现驾驶员自助收胆；可应、扩展支持扩展自助收银管理系统和智能点钞清算系统；要求配备</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套一主四副的自助收银柜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个主柜或副柜配备16个内胆小箱门，采用CPU卡作为收银柜开箱钥匙，依照银行PBOC2.0标准采用先充值后消费的模式，具有定时定点定次开箱；另外配备2套自助点钞终端含，有点钞终端、读卡器、电子称组成，点钞终端采用10.1寸24位色TFT屏，分辨率不小于800x480，支持电容触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含收银管理系统软件。</w:t>
            </w:r>
          </w:p>
          <w:p>
            <w:pPr>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具有较高的安全可靠性，符合产品技术标准和行业有关标准要求；</w:t>
            </w:r>
          </w:p>
          <w:p>
            <w:pPr>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免费配合投币机和终端通讯调试，并做好软件升级工作；投币机通过CAN总线与GPS联机可实现远程操作；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63"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4</w:t>
            </w:r>
          </w:p>
        </w:tc>
        <w:tc>
          <w:tcPr>
            <w:tcW w:w="1657" w:type="dxa"/>
            <w:tcBorders>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公交标识</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上客门、下客门、爱心座椅、安全窗等标识按《城市公共交通标志》标准制作</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5</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灭火器</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rPr>
            </w:pPr>
          </w:p>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按标准配</w:t>
            </w:r>
            <w:r>
              <w:rPr>
                <w:rFonts w:hint="eastAsia" w:ascii="宋体" w:hAnsi="宋体" w:eastAsia="宋体" w:cs="宋体"/>
                <w:color w:val="auto"/>
                <w:sz w:val="24"/>
                <w:szCs w:val="24"/>
                <w:highlight w:val="none"/>
              </w:rPr>
              <w:t>手提式干粉灭火器2个，按车厢前、后合适位置各放置一个并安装不锈钢固定支架</w:t>
            </w:r>
            <w:r>
              <w:rPr>
                <w:rFonts w:hint="eastAsia" w:ascii="宋体" w:hAnsi="宋体" w:eastAsia="宋体" w:cs="宋体"/>
                <w:color w:val="auto"/>
                <w:sz w:val="24"/>
                <w:szCs w:val="24"/>
                <w:highlight w:val="none"/>
                <w:lang w:eastAsia="zh-CN"/>
              </w:rPr>
              <w:t>。</w:t>
            </w:r>
          </w:p>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46</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工具箱</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位置视车厢内驾驶室后空间而定（上下两层或三层），并配一套专用随车工具</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7</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垃圾篓及</w:t>
            </w:r>
            <w:r>
              <w:rPr>
                <w:rFonts w:hint="eastAsia" w:ascii="宋体" w:hAnsi="宋体" w:eastAsia="宋体" w:cs="宋体"/>
                <w:color w:val="auto"/>
                <w:sz w:val="24"/>
                <w:szCs w:val="24"/>
                <w:highlight w:val="none"/>
                <w:lang w:eastAsia="zh-CN"/>
              </w:rPr>
              <w:t>其它设施</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不锈钢</w:t>
            </w:r>
            <w:r>
              <w:rPr>
                <w:rFonts w:hint="eastAsia" w:ascii="宋体" w:hAnsi="宋体" w:cs="宋体"/>
                <w:color w:val="auto"/>
                <w:sz w:val="24"/>
                <w:szCs w:val="24"/>
                <w:highlight w:val="none"/>
                <w:lang w:val="en-US" w:eastAsia="zh-CN"/>
              </w:rPr>
              <w:t>垃圾分类垃圾桶</w:t>
            </w:r>
            <w:r>
              <w:rPr>
                <w:rFonts w:hint="eastAsia" w:ascii="宋体" w:hAnsi="宋体" w:eastAsia="宋体" w:cs="宋体"/>
                <w:color w:val="auto"/>
                <w:sz w:val="24"/>
                <w:szCs w:val="24"/>
                <w:highlight w:val="none"/>
              </w:rPr>
              <w:t>（带固定支架）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并在桶盖及桶身注明“可回收垃圾”、“其他垃圾”字样，安装一套，随车携带一套</w:t>
            </w:r>
            <w:r>
              <w:rPr>
                <w:rFonts w:hint="eastAsia" w:ascii="宋体" w:hAnsi="宋体" w:eastAsia="宋体" w:cs="宋体"/>
                <w:b w:val="0"/>
                <w:bCs w:val="0"/>
                <w:color w:val="auto"/>
                <w:sz w:val="24"/>
                <w:szCs w:val="24"/>
                <w:highlight w:val="none"/>
                <w:lang w:eastAsia="zh-CN"/>
              </w:rPr>
              <w:t>，安装洁具箱，</w:t>
            </w:r>
            <w:r>
              <w:rPr>
                <w:rFonts w:hint="eastAsia" w:ascii="宋体" w:hAnsi="宋体" w:eastAsia="宋体" w:cs="宋体"/>
                <w:b w:val="0"/>
                <w:bCs w:val="0"/>
                <w:color w:val="auto"/>
                <w:sz w:val="24"/>
                <w:szCs w:val="24"/>
                <w:highlight w:val="none"/>
              </w:rPr>
              <w:t>加装驾驶员不锈钢热水瓶支架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驾驶室正上方安装2个驾驶员服务证不锈钢插架（尺寸：95mm*135mm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在车内驾驶室包围和后部恰当位置张贴“车厢内禁止吸烟，请勿饮食”。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8</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司机风扇</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在司机左立柱配备橡胶叶片小风扇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安装位置避免造成驾驶视线遮挡。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9</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电子钟</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按厂家标配内外双温显电子钟。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50</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下车提示按钮</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下客门两侧扶手杆距地板1.35米高度处各安装下车提示按钮1只（共2只）</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下客门上方喷"下车请按铃"字样并且须有语音播报</w:t>
            </w:r>
            <w:r>
              <w:rPr>
                <w:rFonts w:hint="eastAsia" w:ascii="宋体" w:hAnsi="宋体" w:eastAsia="宋体" w:cs="宋体"/>
                <w:b w:val="0"/>
                <w:bCs w:val="0"/>
                <w:color w:val="auto"/>
                <w:sz w:val="24"/>
                <w:szCs w:val="24"/>
                <w:highlight w:val="none"/>
                <w:lang w:eastAsia="zh-CN"/>
              </w:rPr>
              <w:t>（短音提示一次）</w:t>
            </w:r>
            <w:r>
              <w:rPr>
                <w:rFonts w:hint="eastAsia" w:ascii="宋体" w:hAnsi="宋体" w:eastAsia="宋体" w:cs="宋体"/>
                <w:b w:val="0"/>
                <w:bCs w:val="0"/>
                <w:color w:val="auto"/>
                <w:sz w:val="24"/>
                <w:szCs w:val="24"/>
                <w:highlight w:val="none"/>
              </w:rPr>
              <w:t>及仪表盘右侧灯光提示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每只下车提示按钮上方设"下车请按铃"永久性标识，按钮要凹陷设计，不易擦碰。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51</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乘客标尺</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在上客扶手立杆设1.2米及1.5米儿童身高标志及"标志线以上儿童请购票"永久性标识</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52</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安全锤</w:t>
            </w:r>
          </w:p>
        </w:tc>
        <w:tc>
          <w:tcPr>
            <w:tcW w:w="8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安全锤不少于5个（带离锤报警功能安全锤，符合中国公路学会客车分会审查通过发布的《标准的客车应急锤产品型号目录》），其中一个安装在驾驶员左上方其他均匀分布</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3</w:t>
            </w:r>
          </w:p>
        </w:tc>
        <w:tc>
          <w:tcPr>
            <w:tcW w:w="100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电动单冷空调</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顶置式电动智能变频</w:t>
            </w:r>
            <w:r>
              <w:rPr>
                <w:rFonts w:hint="eastAsia" w:ascii="宋体" w:hAnsi="宋体" w:eastAsia="宋体" w:cs="宋体"/>
                <w:color w:val="auto"/>
                <w:sz w:val="24"/>
                <w:szCs w:val="24"/>
                <w:highlight w:val="none"/>
                <w:lang w:eastAsia="zh-CN"/>
              </w:rPr>
              <w:t>单冷</w:t>
            </w:r>
            <w:r>
              <w:rPr>
                <w:rFonts w:hint="eastAsia" w:ascii="宋体" w:hAnsi="宋体" w:eastAsia="宋体" w:cs="宋体"/>
                <w:color w:val="auto"/>
                <w:sz w:val="24"/>
                <w:szCs w:val="24"/>
                <w:highlight w:val="none"/>
              </w:rPr>
              <w:t>空调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制冷量≥1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000大卡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空调机组安装牢固可靠，整机性能稳定，拆装清洁方便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前、后车厢及驾驶区各部位温度均匀一致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风道内增设导流板，确保冷风有效引入车厢。冷凝、蒸发风机采用空调厂家标配无刷风机，进口或国产干燥过滤器、电磁阀、视液镜、离合器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进口膨胀阀、进口卧式全封闭变频涡旋压缩机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空调保险采用防松保险，空调管道采用紫铜管</w:t>
            </w:r>
            <w:r>
              <w:rPr>
                <w:rFonts w:hint="eastAsia" w:ascii="宋体" w:hAnsi="宋体" w:eastAsia="宋体" w:cs="宋体"/>
                <w:color w:val="auto"/>
                <w:sz w:val="24"/>
                <w:szCs w:val="24"/>
                <w:highlight w:val="none"/>
                <w:lang w:eastAsia="zh-CN"/>
              </w:rPr>
              <w:t>做好防护处理</w:t>
            </w:r>
            <w:r>
              <w:rPr>
                <w:rFonts w:hint="eastAsia" w:ascii="宋体" w:hAnsi="宋体" w:eastAsia="宋体" w:cs="宋体"/>
                <w:color w:val="auto"/>
                <w:sz w:val="24"/>
                <w:szCs w:val="24"/>
                <w:highlight w:val="none"/>
              </w:rPr>
              <w:t>，空调底座采用铝合金材料。每年4月份中标方派人来免费保养一次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物联网控制带智能调温、故障判断预警，实时监测运行状态（数据接入CAN总线）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免费质保8年（含易损、易耗件）</w:t>
            </w:r>
            <w:r>
              <w:rPr>
                <w:rFonts w:hint="eastAsia" w:ascii="宋体" w:hAnsi="宋体" w:eastAsia="宋体" w:cs="宋体"/>
                <w:color w:val="auto"/>
                <w:sz w:val="24"/>
                <w:szCs w:val="24"/>
                <w:highlight w:val="none"/>
                <w:lang w:eastAsia="zh-CN"/>
              </w:rPr>
              <w:t>。</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需配备CAN总线通讯模块，设定温度、通过车身CAN总线向智能调度系统提供空调开关信号、实时温度等信息，工作状态上传至车身CAN（通讯协议符合J1939标准）。</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当地未建立服务站的，</w:t>
            </w:r>
            <w:r>
              <w:rPr>
                <w:rFonts w:hint="eastAsia" w:ascii="宋体" w:hAnsi="宋体" w:eastAsia="宋体" w:cs="宋体"/>
                <w:color w:val="auto"/>
                <w:sz w:val="24"/>
                <w:szCs w:val="24"/>
                <w:highlight w:val="none"/>
              </w:rPr>
              <w:t>车辆制造厂家或配套厂家承诺，并附承诺书在招标方单位所在地建立空调维保服务站。</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4</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电热除霜装置</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电热除霜装置采用电热暖风除霜系统（风机功率确定必须符合纯电动车辆节能因素），电气绝缘隔离性能满足安全防护要求，除霜效果保证玻璃的正常可视，进气通道采用内循环。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其它：随车配备全车电路图、使用说明书等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55</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三角警告牌和停车三角木</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本配置表未列入部分按厂家标准配置。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6</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新车贮电量</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送车至卸车地点时，</w:t>
            </w:r>
            <w:r>
              <w:rPr>
                <w:rFonts w:hint="eastAsia" w:ascii="宋体" w:hAnsi="宋体" w:eastAsia="宋体" w:cs="宋体"/>
                <w:color w:val="auto"/>
                <w:sz w:val="24"/>
                <w:szCs w:val="24"/>
                <w:highlight w:val="none"/>
                <w:lang w:val="zh-CN"/>
              </w:rPr>
              <w:t>动力电源储电</w:t>
            </w:r>
            <w:r>
              <w:rPr>
                <w:rFonts w:hint="eastAsia" w:ascii="宋体" w:hAnsi="宋体" w:eastAsia="宋体" w:cs="宋体"/>
                <w:color w:val="auto"/>
                <w:sz w:val="24"/>
                <w:szCs w:val="24"/>
                <w:highlight w:val="none"/>
              </w:rPr>
              <w:t>量不低于配电的80%，以保证新车能行驶到充电场站及满足检测上牌行驶里程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7</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送车</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厂家送车至指定地点，送车及装卸费用，计入投标单价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8</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系统</w:t>
            </w:r>
          </w:p>
        </w:tc>
        <w:tc>
          <w:tcPr>
            <w:tcW w:w="8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本项目所涉及的所有系统，均需提供接口协议，并做好后期公交智能化的联动调试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98"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pPr>
        <w:pStyle w:val="2"/>
        <w:rPr>
          <w:rFonts w:hint="eastAsia" w:hAnsi="宋体"/>
          <w:b/>
          <w:color w:val="auto"/>
          <w:highlight w:val="none"/>
          <w:u w:val="single"/>
          <w:lang w:val="en-US" w:eastAsia="zh-CN"/>
        </w:rPr>
      </w:pPr>
    </w:p>
    <w:p>
      <w:pPr>
        <w:pStyle w:val="2"/>
        <w:rPr>
          <w:rFonts w:hint="eastAsia" w:hAnsi="宋体"/>
          <w:b/>
          <w:color w:val="auto"/>
          <w:highlight w:val="none"/>
          <w:u w:val="single"/>
          <w:lang w:val="en-US" w:eastAsia="zh-CN"/>
        </w:rPr>
      </w:pPr>
    </w:p>
    <w:p>
      <w:pPr>
        <w:jc w:val="left"/>
        <w:rPr>
          <w:rFonts w:hint="eastAsia" w:hAnsi="宋体"/>
          <w:b/>
          <w:color w:val="auto"/>
          <w:highlight w:val="none"/>
          <w:u w:val="single"/>
        </w:rPr>
      </w:pPr>
      <w:r>
        <w:rPr>
          <w:rFonts w:hint="eastAsia" w:hAnsi="宋体"/>
          <w:b/>
          <w:color w:val="auto"/>
          <w:highlight w:val="none"/>
          <w:u w:val="single"/>
          <w:lang w:val="en-US" w:eastAsia="zh-CN"/>
        </w:rPr>
        <w:t>三</w:t>
      </w:r>
      <w:r>
        <w:rPr>
          <w:rFonts w:hint="eastAsia" w:hAnsi="宋体"/>
          <w:b/>
          <w:color w:val="auto"/>
          <w:highlight w:val="none"/>
          <w:u w:val="single"/>
        </w:rPr>
        <w:t>、▲质保要求</w:t>
      </w:r>
      <w:bookmarkEnd w:id="4"/>
    </w:p>
    <w:p>
      <w:pPr>
        <w:jc w:val="left"/>
        <w:rPr>
          <w:rFonts w:hint="eastAsia" w:hAnsi="宋体"/>
          <w:b/>
          <w:color w:val="auto"/>
          <w:highlight w:val="none"/>
          <w:u w:val="single"/>
        </w:rPr>
      </w:pPr>
      <w:bookmarkStart w:id="5" w:name="_Toc482497088"/>
    </w:p>
    <w:tbl>
      <w:tblPr>
        <w:tblStyle w:val="42"/>
        <w:tblW w:w="10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28"/>
        <w:gridCol w:w="4173"/>
        <w:gridCol w:w="669"/>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b/>
                <w:color w:val="auto"/>
                <w:szCs w:val="22"/>
                <w:highlight w:val="none"/>
              </w:rPr>
            </w:pPr>
            <w:r>
              <w:rPr>
                <w:rFonts w:hint="eastAsia" w:ascii="宋体" w:hAnsi="宋体" w:cs="宋体"/>
                <w:b/>
                <w:color w:val="auto"/>
                <w:szCs w:val="22"/>
                <w:highlight w:val="none"/>
              </w:rPr>
              <w:t>序号</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b/>
                <w:color w:val="auto"/>
                <w:szCs w:val="22"/>
                <w:highlight w:val="none"/>
              </w:rPr>
            </w:pPr>
            <w:r>
              <w:rPr>
                <w:rFonts w:hint="eastAsia" w:ascii="宋体" w:hAnsi="宋体" w:cs="宋体"/>
                <w:b/>
                <w:color w:val="auto"/>
                <w:szCs w:val="22"/>
                <w:highlight w:val="none"/>
              </w:rPr>
              <w:t>部件名称</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b/>
                <w:color w:val="auto"/>
                <w:szCs w:val="22"/>
                <w:highlight w:val="none"/>
              </w:rPr>
            </w:pPr>
            <w:r>
              <w:rPr>
                <w:rFonts w:hint="eastAsia" w:ascii="宋体" w:hAnsi="宋体" w:cs="宋体"/>
                <w:b/>
                <w:color w:val="auto"/>
                <w:szCs w:val="22"/>
                <w:highlight w:val="none"/>
              </w:rPr>
              <w:t>保修范围</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b/>
                <w:color w:val="auto"/>
                <w:szCs w:val="22"/>
                <w:highlight w:val="none"/>
              </w:rPr>
            </w:pPr>
            <w:r>
              <w:rPr>
                <w:rFonts w:hint="eastAsia" w:ascii="宋体" w:hAnsi="宋体" w:cs="宋体"/>
                <w:b/>
                <w:color w:val="auto"/>
                <w:szCs w:val="22"/>
                <w:highlight w:val="none"/>
              </w:rPr>
              <w:t>质保</w:t>
            </w:r>
          </w:p>
          <w:p>
            <w:pPr>
              <w:spacing w:line="276" w:lineRule="auto"/>
              <w:jc w:val="center"/>
              <w:rPr>
                <w:rFonts w:hint="eastAsia" w:ascii="宋体" w:hAnsi="宋体" w:cs="宋体"/>
                <w:b/>
                <w:color w:val="auto"/>
                <w:szCs w:val="22"/>
                <w:highlight w:val="none"/>
              </w:rPr>
            </w:pPr>
            <w:r>
              <w:rPr>
                <w:rFonts w:hint="eastAsia" w:ascii="宋体" w:hAnsi="宋体" w:cs="宋体"/>
                <w:b/>
                <w:color w:val="auto"/>
                <w:szCs w:val="22"/>
                <w:highlight w:val="none"/>
              </w:rPr>
              <w:t>期限</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b/>
                <w:color w:val="auto"/>
                <w:szCs w:val="22"/>
                <w:highlight w:val="none"/>
              </w:rPr>
            </w:pPr>
            <w:r>
              <w:rPr>
                <w:rFonts w:hint="eastAsia" w:ascii="宋体" w:hAnsi="宋体" w:cs="宋体"/>
                <w:b/>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1</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动力系统(含电池组、驱动电机、控制系统、)</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驱动电机、控制系统、动力电池组、的维修、检查、保养、更换及工时材料费用，动力电池具体更换要求见本章“关于纯电动车型的特别说明”</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驱动电机、动力电池提供车厂与配套供应商联合质保承诺书，控制系统提供车厂质保承诺书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2</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2"/>
                <w:highlight w:val="none"/>
                <w:lang w:eastAsia="zh-CN"/>
              </w:rPr>
            </w:pPr>
            <w:r>
              <w:rPr>
                <w:rFonts w:hint="eastAsia" w:ascii="宋体" w:hAnsi="宋体" w:cs="宋体"/>
                <w:color w:val="auto"/>
                <w:sz w:val="22"/>
                <w:szCs w:val="22"/>
                <w:highlight w:val="none"/>
              </w:rPr>
              <w:t>电驱空气压缩机</w:t>
            </w:r>
            <w:r>
              <w:rPr>
                <w:rFonts w:hint="eastAsia" w:ascii="宋体" w:hAnsi="宋体" w:cs="宋体"/>
                <w:color w:val="auto"/>
                <w:sz w:val="22"/>
                <w:szCs w:val="22"/>
                <w:highlight w:val="none"/>
                <w:lang w:eastAsia="zh-CN"/>
              </w:rPr>
              <w:t>（</w:t>
            </w:r>
            <w:r>
              <w:rPr>
                <w:rFonts w:hint="eastAsia" w:ascii="宋体" w:hAnsi="宋体" w:eastAsia="宋体" w:cs="宋体"/>
                <w:color w:val="auto"/>
                <w:szCs w:val="22"/>
                <w:highlight w:val="none"/>
                <w:lang w:val="en-US" w:eastAsia="zh-CN"/>
              </w:rPr>
              <w:t>标项一为</w:t>
            </w:r>
            <w:r>
              <w:rPr>
                <w:rFonts w:hint="eastAsia" w:ascii="宋体" w:hAnsi="宋体" w:cs="宋体"/>
                <w:color w:val="auto"/>
                <w:sz w:val="22"/>
                <w:szCs w:val="22"/>
                <w:highlight w:val="none"/>
                <w:lang w:eastAsia="zh-CN"/>
              </w:rPr>
              <w:t>真空泵）</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维修、检查、更换及工时材料费用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3</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rPr>
              <w:t>转向</w:t>
            </w:r>
            <w:r>
              <w:rPr>
                <w:rFonts w:hint="eastAsia" w:ascii="宋体" w:hAnsi="宋体" w:cs="宋体"/>
                <w:color w:val="auto"/>
                <w:szCs w:val="22"/>
                <w:highlight w:val="none"/>
                <w:lang w:val="en-US" w:eastAsia="zh-CN"/>
              </w:rPr>
              <w:t>系统</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维修、检查、更换及工时材料费用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4</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电空调</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5</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整车线束（包括</w:t>
            </w:r>
            <w:r>
              <w:rPr>
                <w:rFonts w:hint="eastAsia" w:ascii="宋体" w:hAnsi="宋体" w:eastAsia="宋体" w:cs="宋体"/>
                <w:color w:val="auto"/>
                <w:szCs w:val="22"/>
                <w:highlight w:val="none"/>
                <w:lang w:val="en-US" w:eastAsia="zh-CN"/>
              </w:rPr>
              <w:t>充电座、</w:t>
            </w:r>
            <w:r>
              <w:rPr>
                <w:rFonts w:hint="eastAsia" w:ascii="宋体" w:eastAsia="宋体"/>
                <w:b w:val="0"/>
                <w:bCs/>
                <w:color w:val="auto"/>
                <w:sz w:val="22"/>
                <w:szCs w:val="22"/>
                <w:highlight w:val="none"/>
              </w:rPr>
              <w:t>CAN总线</w:t>
            </w:r>
            <w:r>
              <w:rPr>
                <w:rFonts w:hint="eastAsia" w:ascii="宋体" w:hAnsi="宋体" w:cs="宋体"/>
                <w:color w:val="auto"/>
                <w:szCs w:val="22"/>
                <w:highlight w:val="none"/>
              </w:rPr>
              <w:t>）</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6</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前后桥</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包括轮端</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盘式制动器总成、组减速器等</w:t>
            </w:r>
            <w:r>
              <w:rPr>
                <w:rFonts w:hint="eastAsia" w:ascii="宋体" w:hAnsi="宋体" w:eastAsia="宋体" w:cs="宋体"/>
                <w:color w:val="auto"/>
                <w:szCs w:val="22"/>
                <w:highlight w:val="none"/>
                <w:lang w:eastAsia="zh-CN"/>
              </w:rPr>
              <w:t>）</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维修、检查、更换及工时材料费用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7</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冷却系统（包括智能水箱、水泵</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8</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车身骨架、蒙皮、车顶</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车身骨架、蒙皮不断裂、不变形、不锈蚀、不腐烂，车顶不漏（渗）水，(非正常使用除外)</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9</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进口石英砂防滑耐磨地板革</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无非正常开裂、磨损、脱胶</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rPr>
              <w:t>1</w:t>
            </w:r>
            <w:r>
              <w:rPr>
                <w:rFonts w:hint="eastAsia" w:ascii="宋体" w:hAnsi="宋体" w:cs="宋体"/>
                <w:color w:val="auto"/>
                <w:szCs w:val="22"/>
                <w:highlight w:val="none"/>
                <w:lang w:val="en-US" w:eastAsia="zh-CN"/>
              </w:rPr>
              <w:t>0</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集中供油润滑装置</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rPr>
              <w:t>1</w:t>
            </w:r>
            <w:r>
              <w:rPr>
                <w:rFonts w:hint="eastAsia" w:ascii="宋体" w:hAnsi="宋体" w:cs="宋体"/>
                <w:color w:val="auto"/>
                <w:szCs w:val="22"/>
                <w:highlight w:val="none"/>
                <w:lang w:val="en-US" w:eastAsia="zh-CN"/>
              </w:rPr>
              <w:t>1</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电热除霜总成</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12</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气制动阀带踏板总成(标项一不作要求）</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13</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2"/>
                <w:highlight w:val="none"/>
                <w:lang w:val="en-US" w:eastAsia="zh-CN"/>
              </w:rPr>
            </w:pPr>
            <w:r>
              <w:rPr>
                <w:rFonts w:hint="eastAsia" w:ascii="宋体" w:eastAsia="宋体"/>
                <w:b w:val="0"/>
                <w:bCs/>
                <w:color w:val="auto"/>
                <w:sz w:val="22"/>
                <w:szCs w:val="22"/>
                <w:highlight w:val="none"/>
              </w:rPr>
              <w:t>全景</w:t>
            </w:r>
            <w:r>
              <w:rPr>
                <w:rFonts w:hint="eastAsia" w:ascii="宋体" w:hAnsi="宋体" w:eastAsia="宋体" w:cs="宋体"/>
                <w:color w:val="auto"/>
                <w:szCs w:val="22"/>
                <w:highlight w:val="none"/>
                <w:lang w:val="en-US" w:eastAsia="zh-CN"/>
              </w:rPr>
              <w:t>风道(标项一不作要求）</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14</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2"/>
                <w:highlight w:val="none"/>
                <w:lang w:val="en-US" w:eastAsia="zh-CN"/>
              </w:rPr>
            </w:pPr>
            <w:r>
              <w:rPr>
                <w:rFonts w:hint="eastAsia" w:ascii="宋体" w:eastAsia="宋体"/>
                <w:b w:val="0"/>
                <w:bCs/>
                <w:color w:val="auto"/>
                <w:sz w:val="22"/>
                <w:szCs w:val="22"/>
                <w:highlight w:val="none"/>
              </w:rPr>
              <w:t>电池</w:t>
            </w:r>
            <w:r>
              <w:rPr>
                <w:rFonts w:hint="eastAsia" w:ascii="宋体" w:eastAsia="宋体"/>
                <w:b w:val="0"/>
                <w:bCs/>
                <w:color w:val="auto"/>
                <w:sz w:val="22"/>
                <w:szCs w:val="22"/>
                <w:highlight w:val="none"/>
                <w:lang w:eastAsia="zh-CN"/>
              </w:rPr>
              <w:t>仓</w:t>
            </w:r>
            <w:r>
              <w:rPr>
                <w:rFonts w:hint="eastAsia" w:ascii="宋体" w:eastAsia="宋体"/>
                <w:b w:val="0"/>
                <w:bCs/>
                <w:color w:val="auto"/>
                <w:sz w:val="22"/>
                <w:szCs w:val="22"/>
                <w:highlight w:val="none"/>
              </w:rPr>
              <w:t>灭火装置</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15</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电子路牌</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16</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LCD显示屏（导乘屏）32寸</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17</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乘客座椅</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18</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司机包围</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19</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门系统</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20</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自动排水阀</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21</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电池热管理系统</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22</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eastAsia="宋体"/>
                <w:b w:val="0"/>
                <w:bCs/>
                <w:color w:val="auto"/>
                <w:sz w:val="22"/>
                <w:szCs w:val="22"/>
                <w:highlight w:val="none"/>
              </w:rPr>
            </w:pPr>
            <w:r>
              <w:rPr>
                <w:rFonts w:hint="eastAsia" w:ascii="宋体" w:hAnsi="宋体" w:eastAsia="宋体" w:cs="宋体"/>
                <w:color w:val="auto"/>
                <w:sz w:val="24"/>
                <w:szCs w:val="24"/>
                <w:highlight w:val="none"/>
              </w:rPr>
              <w:t>数字配电管理模块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Cs w:val="22"/>
                <w:highlight w:val="none"/>
                <w:lang w:val="en-US" w:eastAsia="zh-CN"/>
              </w:rPr>
              <w:t>控制模块）</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23</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车后广告屏</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24</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投币机</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25</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胎压监测</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提供车厂质保承诺书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26</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360环视系统</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维修、检查、保养、更换及工时材料费用</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8年</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2"/>
                <w:highlight w:val="none"/>
              </w:rPr>
            </w:pPr>
            <w:r>
              <w:rPr>
                <w:rFonts w:hint="eastAsia" w:ascii="宋体" w:hAnsi="宋体" w:cs="宋体"/>
                <w:color w:val="auto"/>
                <w:szCs w:val="22"/>
                <w:highlight w:val="none"/>
              </w:rPr>
              <w:t>提供车厂质保承诺书</w:t>
            </w:r>
          </w:p>
        </w:tc>
      </w:tr>
    </w:tbl>
    <w:p>
      <w:pPr>
        <w:spacing w:line="360" w:lineRule="auto"/>
        <w:jc w:val="left"/>
        <w:rPr>
          <w:rFonts w:hint="eastAsia" w:hAnsi="宋体"/>
          <w:b/>
          <w:color w:val="auto"/>
          <w:highlight w:val="none"/>
          <w:u w:val="single"/>
        </w:rPr>
      </w:pPr>
    </w:p>
    <w:p>
      <w:pPr>
        <w:numPr>
          <w:ilvl w:val="0"/>
          <w:numId w:val="0"/>
        </w:numPr>
        <w:spacing w:line="360" w:lineRule="auto"/>
        <w:jc w:val="left"/>
        <w:rPr>
          <w:rFonts w:hint="eastAsia" w:ascii="宋体" w:hAnsi="宋体" w:cs="宋体"/>
          <w:b/>
          <w:bCs/>
          <w:color w:val="auto"/>
          <w:szCs w:val="22"/>
          <w:highlight w:val="none"/>
        </w:rPr>
      </w:pPr>
      <w:r>
        <w:rPr>
          <w:rFonts w:hint="eastAsia" w:hAnsi="宋体"/>
          <w:b/>
          <w:color w:val="auto"/>
          <w:highlight w:val="none"/>
          <w:u w:val="single"/>
          <w:lang w:val="en-US" w:eastAsia="zh-CN"/>
        </w:rPr>
        <w:t>四</w:t>
      </w:r>
      <w:r>
        <w:rPr>
          <w:rFonts w:hint="eastAsia" w:hAnsi="宋体"/>
          <w:b/>
          <w:color w:val="auto"/>
          <w:highlight w:val="none"/>
          <w:u w:val="single"/>
          <w:lang w:eastAsia="zh-CN"/>
        </w:rPr>
        <w:t>、</w:t>
      </w:r>
      <w:r>
        <w:rPr>
          <w:rFonts w:hint="eastAsia" w:hAnsi="宋体"/>
          <w:b/>
          <w:color w:val="auto"/>
          <w:highlight w:val="none"/>
          <w:u w:val="single"/>
        </w:rPr>
        <w:t>商务要求</w:t>
      </w:r>
      <w:bookmarkEnd w:id="5"/>
    </w:p>
    <w:p>
      <w:pPr>
        <w:spacing w:line="360" w:lineRule="auto"/>
        <w:rPr>
          <w:rFonts w:hint="eastAsia" w:ascii="Times New Roman" w:hAnsi="Times New Roman" w:eastAsia="宋体" w:cs="Times New Roman"/>
          <w:color w:val="auto"/>
          <w:highlight w:val="none"/>
          <w:lang w:eastAsia="zh-CN"/>
        </w:rPr>
      </w:pPr>
      <w:r>
        <w:rPr>
          <w:rFonts w:hint="eastAsia" w:ascii="宋体" w:hAnsi="宋体" w:cs="宋体"/>
          <w:color w:val="auto"/>
          <w:szCs w:val="22"/>
          <w:highlight w:val="none"/>
        </w:rPr>
        <w:t>▲（1）车辆质保期：</w:t>
      </w:r>
      <w:r>
        <w:rPr>
          <w:rFonts w:hint="eastAsia"/>
          <w:color w:val="auto"/>
          <w:highlight w:val="none"/>
          <w:lang w:eastAsia="zh-CN"/>
        </w:rPr>
        <w:t>除特殊说明外整车（不含易损件（包括皮带、刹车片、减震器胶垫、刮雨片等））提供不少于 2</w:t>
      </w:r>
      <w:r>
        <w:rPr>
          <w:rFonts w:hint="eastAsia" w:ascii="Times New Roman" w:hAnsi="Times New Roman" w:eastAsia="宋体" w:cs="Times New Roman"/>
          <w:color w:val="auto"/>
          <w:highlight w:val="none"/>
          <w:lang w:eastAsia="zh-CN"/>
        </w:rPr>
        <w:t xml:space="preserve"> 年的质保期，终身维护， 若乙方给予延长质保期各部件质保期按乙方对外承诺的标准执行。 </w:t>
      </w:r>
    </w:p>
    <w:p>
      <w:pPr>
        <w:spacing w:line="360" w:lineRule="auto"/>
        <w:rPr>
          <w:rFonts w:hint="eastAsia" w:ascii="宋体" w:hAnsi="宋体" w:eastAsia="宋体" w:cs="宋体"/>
          <w:color w:val="auto"/>
          <w:kern w:val="2"/>
          <w:sz w:val="22"/>
          <w:szCs w:val="22"/>
          <w:highlight w:val="none"/>
          <w:lang w:val="en-US" w:eastAsia="zh-CN" w:bidi="ar-SA"/>
        </w:rPr>
      </w:pPr>
      <w:r>
        <w:rPr>
          <w:rFonts w:hint="eastAsia" w:ascii="Times New Roman" w:hAnsi="Times New Roman" w:eastAsia="宋体" w:cs="Times New Roman"/>
          <w:color w:val="auto"/>
          <w:highlight w:val="none"/>
          <w:lang w:val="en-US" w:eastAsia="zh-CN"/>
        </w:rPr>
        <w:t>（2）质保期从车辆登记上牌使用之日起计算，在质保期内，中标供应商应负责对其提供的设备进行现场维修、损坏件更换，不收取额外费用，对人为破坏或合同规定的不可抗因素造成的损坏，不承担任何责任，可收取一定的成本费用予以维修，超过质保期由中标供应商负责终身保修，只能收取工本费。因装置的质量问题发生争议，由温州市技术监督局或其指定的质量鉴定检验机构进行质量鉴定，鉴定费由中标供应商承担，属于设计、制造缺陷造成的质量问题，由中标供应商自行承担全部责任。</w:t>
      </w:r>
    </w:p>
    <w:p>
      <w:pPr>
        <w:spacing w:line="360" w:lineRule="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（3）车辆必须在供应商本部所在地最大的工厂生产，不允许在外地或副厂进行生产。</w:t>
      </w:r>
    </w:p>
    <w:p>
      <w:pPr>
        <w:spacing w:line="360" w:lineRule="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（4）供应商在投标文件中说明质保期内提供的服务计划。</w:t>
      </w:r>
    </w:p>
    <w:p>
      <w:pPr>
        <w:spacing w:line="360" w:lineRule="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（5）供应商需负责所有车辆的上牌工作，并配合相关补贴免税申报、办理、车辆交付及验收。</w:t>
      </w:r>
    </w:p>
    <w:p>
      <w:pPr>
        <w:spacing w:line="360" w:lineRule="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（6）本次采购的车辆在8年内正常使用过程中如发生纵横梁或主要骨架断裂的、因质量问题造成车顶漏雨，中标供应商负责召回。</w:t>
      </w:r>
    </w:p>
    <w:p>
      <w:pPr>
        <w:spacing w:line="360" w:lineRule="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（7）中标单位的车辆出现以下情况的，中标单位须无条件召回更换新车或进行整改，整改后出具整改质量保证承诺书，并承担相应损失。</w:t>
      </w:r>
    </w:p>
    <w:p>
      <w:pPr>
        <w:spacing w:line="360" w:lineRule="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①批量故障：同一个批次车辆同一故障出现3辆及以上，并经过售后服务和维修公司单车二次修复后仍无法解决的或在三个月内批次故障仍无法解决的。</w:t>
      </w:r>
    </w:p>
    <w:p>
      <w:pPr>
        <w:spacing w:line="360" w:lineRule="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②故障频率：同一个批次车辆，单车在六个月内同一个故障发生五次以上（含五次）或六个月内无法修复解决的；单车在一个月内不同故障发生五次以上（含五次）或一个月内无法修复解决的。</w:t>
      </w:r>
    </w:p>
    <w:p>
      <w:pPr>
        <w:spacing w:line="360" w:lineRule="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③车辆自燃：车辆发生自燃，经厂家和采购人鉴定或经官方仲裁机构认定为因车辆质量等问题的。</w:t>
      </w:r>
    </w:p>
    <w:p>
      <w:pPr>
        <w:spacing w:line="360" w:lineRule="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④其他重大质量问题：经厂家和采购人鉴定或经官方仲裁机构认定为因车辆质量等问题的。</w:t>
      </w:r>
    </w:p>
    <w:tbl>
      <w:tblPr>
        <w:tblStyle w:val="4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397"/>
        <w:gridCol w:w="78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blHeader/>
        </w:trPr>
        <w:tc>
          <w:tcPr>
            <w:tcW w:w="817" w:type="dxa"/>
            <w:noWrap w:val="0"/>
            <w:vAlign w:val="center"/>
          </w:tcPr>
          <w:p>
            <w:pPr>
              <w:spacing w:line="276" w:lineRule="auto"/>
              <w:jc w:val="center"/>
              <w:rPr>
                <w:rFonts w:hint="eastAsia" w:ascii="宋体" w:hAnsi="宋体" w:cs="宋体"/>
                <w:b/>
                <w:color w:val="auto"/>
                <w:w w:val="90"/>
                <w:szCs w:val="22"/>
                <w:highlight w:val="none"/>
              </w:rPr>
            </w:pPr>
            <w:r>
              <w:rPr>
                <w:rFonts w:hint="eastAsia" w:ascii="宋体" w:hAnsi="宋体" w:cs="宋体"/>
                <w:b/>
                <w:color w:val="auto"/>
                <w:w w:val="90"/>
                <w:szCs w:val="22"/>
                <w:highlight w:val="none"/>
              </w:rPr>
              <w:t>序号</w:t>
            </w:r>
          </w:p>
        </w:tc>
        <w:tc>
          <w:tcPr>
            <w:tcW w:w="1397" w:type="dxa"/>
            <w:noWrap w:val="0"/>
            <w:vAlign w:val="center"/>
          </w:tcPr>
          <w:p>
            <w:pPr>
              <w:spacing w:line="276" w:lineRule="auto"/>
              <w:jc w:val="center"/>
              <w:rPr>
                <w:rFonts w:hint="eastAsia" w:ascii="宋体" w:hAnsi="宋体" w:cs="宋体"/>
                <w:b/>
                <w:color w:val="auto"/>
                <w:w w:val="90"/>
                <w:szCs w:val="22"/>
                <w:highlight w:val="none"/>
              </w:rPr>
            </w:pPr>
            <w:r>
              <w:rPr>
                <w:rFonts w:hint="eastAsia" w:ascii="宋体" w:hAnsi="宋体" w:cs="宋体"/>
                <w:b/>
                <w:color w:val="auto"/>
                <w:w w:val="90"/>
                <w:szCs w:val="22"/>
                <w:highlight w:val="none"/>
              </w:rPr>
              <w:t>内容</w:t>
            </w:r>
          </w:p>
        </w:tc>
        <w:tc>
          <w:tcPr>
            <w:tcW w:w="7814" w:type="dxa"/>
            <w:noWrap w:val="0"/>
            <w:vAlign w:val="center"/>
          </w:tcPr>
          <w:p>
            <w:pPr>
              <w:spacing w:line="276" w:lineRule="auto"/>
              <w:jc w:val="center"/>
              <w:rPr>
                <w:rFonts w:hint="eastAsia" w:ascii="宋体" w:hAnsi="宋体" w:cs="宋体"/>
                <w:b/>
                <w:color w:val="auto"/>
                <w:w w:val="90"/>
                <w:szCs w:val="22"/>
                <w:highlight w:val="none"/>
              </w:rPr>
            </w:pPr>
            <w:r>
              <w:rPr>
                <w:rFonts w:hint="eastAsia" w:ascii="宋体" w:hAnsi="宋体" w:cs="宋体"/>
                <w:b/>
                <w:color w:val="auto"/>
                <w:w w:val="90"/>
                <w:szCs w:val="22"/>
                <w:highlight w:val="none"/>
              </w:rPr>
              <w:t>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817" w:type="dxa"/>
            <w:noWrap w:val="0"/>
            <w:vAlign w:val="center"/>
          </w:tcPr>
          <w:p>
            <w:pPr>
              <w:spacing w:line="276" w:lineRule="auto"/>
              <w:jc w:val="center"/>
              <w:rPr>
                <w:rFonts w:hint="eastAsia" w:ascii="宋体" w:hAnsi="宋体" w:cs="宋体"/>
                <w:color w:val="auto"/>
                <w:w w:val="90"/>
                <w:szCs w:val="22"/>
                <w:highlight w:val="none"/>
              </w:rPr>
            </w:pPr>
            <w:r>
              <w:rPr>
                <w:rFonts w:hint="eastAsia" w:ascii="宋体" w:hAnsi="宋体" w:cs="宋体"/>
                <w:color w:val="auto"/>
                <w:w w:val="90"/>
                <w:szCs w:val="22"/>
                <w:highlight w:val="none"/>
              </w:rPr>
              <w:t>1</w:t>
            </w:r>
          </w:p>
        </w:tc>
        <w:tc>
          <w:tcPr>
            <w:tcW w:w="1397" w:type="dxa"/>
            <w:noWrap w:val="0"/>
            <w:vAlign w:val="center"/>
          </w:tcPr>
          <w:p>
            <w:pPr>
              <w:spacing w:line="276" w:lineRule="auto"/>
              <w:rPr>
                <w:rFonts w:hint="eastAsia" w:ascii="宋体" w:hAnsi="宋体" w:cs="宋体"/>
                <w:color w:val="auto"/>
                <w:highlight w:val="none"/>
              </w:rPr>
            </w:pPr>
            <w:r>
              <w:rPr>
                <w:rFonts w:hint="eastAsia" w:ascii="宋体" w:hAnsi="宋体" w:cs="宋体"/>
                <w:color w:val="auto"/>
                <w:highlight w:val="none"/>
              </w:rPr>
              <w:t>▲投标报价范围</w:t>
            </w:r>
          </w:p>
        </w:tc>
        <w:tc>
          <w:tcPr>
            <w:tcW w:w="7814" w:type="dxa"/>
            <w:noWrap w:val="0"/>
            <w:vAlign w:val="center"/>
          </w:tcPr>
          <w:p>
            <w:pPr>
              <w:spacing w:line="276" w:lineRule="auto"/>
              <w:rPr>
                <w:rFonts w:hint="eastAsia" w:ascii="宋体" w:hAnsi="宋体" w:cs="宋体"/>
                <w:color w:val="auto"/>
                <w:highlight w:val="none"/>
              </w:rPr>
            </w:pPr>
            <w:r>
              <w:rPr>
                <w:rFonts w:hint="eastAsia" w:ascii="宋体" w:hAnsi="宋体" w:cs="宋体"/>
                <w:color w:val="auto"/>
                <w:highlight w:val="none"/>
              </w:rPr>
              <w:t>本项目采用固定总价合同，中标（成交）供应商的投标报价是履行合同的最终价格，报价应包括完成合同所涉及的全部内容，包含但不仅限于所有车辆及配套设备的设计、制造（零配件采购、装配）、运输（至采购人指定地点）、相关补贴免税申报和办理、车辆交付、验收配合、售后服务、技术培训等全部工作所需的一切费用，以及中标后</w:t>
            </w:r>
            <w:r>
              <w:rPr>
                <w:rFonts w:hint="eastAsia" w:ascii="宋体" w:hAnsi="宋体" w:cs="宋体"/>
                <w:color w:val="auto"/>
                <w:highlight w:val="none"/>
                <w:lang w:eastAsia="zh-CN"/>
              </w:rPr>
              <w:t>中标供应商</w:t>
            </w:r>
            <w:r>
              <w:rPr>
                <w:rFonts w:hint="eastAsia" w:ascii="宋体" w:hAnsi="宋体" w:cs="宋体"/>
                <w:color w:val="auto"/>
                <w:highlight w:val="none"/>
              </w:rPr>
              <w:t>因本项目合同履行产生的税金、人工、管理、合理利润、采购代理费等一切成本及费用（以上所有费用包含在综合单价中，不另列）。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817" w:type="dxa"/>
            <w:noWrap w:val="0"/>
            <w:vAlign w:val="center"/>
          </w:tcPr>
          <w:p>
            <w:pPr>
              <w:spacing w:line="276" w:lineRule="auto"/>
              <w:jc w:val="center"/>
              <w:rPr>
                <w:rFonts w:hint="eastAsia" w:ascii="宋体" w:hAnsi="宋体" w:cs="宋体"/>
                <w:color w:val="auto"/>
                <w:w w:val="90"/>
                <w:szCs w:val="22"/>
                <w:highlight w:val="none"/>
              </w:rPr>
            </w:pPr>
            <w:r>
              <w:rPr>
                <w:rFonts w:hint="eastAsia" w:ascii="宋体" w:hAnsi="宋体" w:cs="宋体"/>
                <w:color w:val="auto"/>
                <w:w w:val="90"/>
                <w:szCs w:val="22"/>
                <w:highlight w:val="none"/>
              </w:rPr>
              <w:t>2</w:t>
            </w:r>
          </w:p>
        </w:tc>
        <w:tc>
          <w:tcPr>
            <w:tcW w:w="1397" w:type="dxa"/>
            <w:noWrap w:val="0"/>
            <w:vAlign w:val="center"/>
          </w:tcPr>
          <w:p>
            <w:pPr>
              <w:spacing w:line="276" w:lineRule="auto"/>
              <w:rPr>
                <w:rFonts w:hint="eastAsia" w:ascii="宋体" w:hAnsi="宋体" w:cs="宋体"/>
                <w:color w:val="auto"/>
                <w:highlight w:val="none"/>
              </w:rPr>
            </w:pPr>
            <w:r>
              <w:rPr>
                <w:rFonts w:hint="eastAsia" w:ascii="宋体" w:hAnsi="宋体" w:cs="宋体"/>
                <w:color w:val="auto"/>
                <w:highlight w:val="none"/>
              </w:rPr>
              <w:t>▲交货期</w:t>
            </w:r>
          </w:p>
        </w:tc>
        <w:tc>
          <w:tcPr>
            <w:tcW w:w="7814" w:type="dxa"/>
            <w:noWrap w:val="0"/>
            <w:vAlign w:val="center"/>
          </w:tcPr>
          <w:p>
            <w:pPr>
              <w:spacing w:line="276" w:lineRule="auto"/>
              <w:rPr>
                <w:rFonts w:hint="eastAsia" w:ascii="宋体" w:hAnsi="宋体" w:cs="宋体"/>
                <w:color w:val="auto"/>
                <w:highlight w:val="none"/>
              </w:rPr>
            </w:pPr>
            <w:r>
              <w:rPr>
                <w:rFonts w:hint="eastAsia" w:ascii="宋体" w:hAnsi="宋体" w:cs="宋体"/>
                <w:color w:val="auto"/>
                <w:highlight w:val="none"/>
              </w:rPr>
              <w:t>签订合同后4</w:t>
            </w:r>
            <w:r>
              <w:rPr>
                <w:rFonts w:hint="eastAsia" w:ascii="宋体" w:hAnsi="宋体" w:cs="宋体"/>
                <w:color w:val="auto"/>
                <w:highlight w:val="none"/>
                <w:lang w:val="en-US" w:eastAsia="zh-CN"/>
              </w:rPr>
              <w:t>5</w:t>
            </w:r>
            <w:r>
              <w:rPr>
                <w:rFonts w:hint="eastAsia" w:ascii="宋体" w:hAnsi="宋体" w:cs="宋体"/>
                <w:color w:val="auto"/>
                <w:highlight w:val="none"/>
              </w:rPr>
              <w:t>个日历天内车辆送达采购人指定地点，延期交货</w:t>
            </w:r>
            <w:r>
              <w:rPr>
                <w:rFonts w:hint="eastAsia" w:ascii="宋体" w:hAnsi="宋体" w:cs="宋体"/>
                <w:color w:val="auto"/>
                <w:highlight w:val="none"/>
                <w:lang w:val="en-US" w:eastAsia="zh-CN"/>
              </w:rPr>
              <w:t>以每辆车合同金额的1‰</w:t>
            </w:r>
            <w:r>
              <w:rPr>
                <w:rFonts w:hint="eastAsia" w:ascii="宋体" w:hAnsi="宋体" w:cs="宋体"/>
                <w:color w:val="auto"/>
                <w:highlight w:val="none"/>
              </w:rPr>
              <w:t>/车/天，延期1个月后还未交车的，采购人有权终止合同，履约保证金不予退还。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817" w:type="dxa"/>
            <w:noWrap w:val="0"/>
            <w:vAlign w:val="center"/>
          </w:tcPr>
          <w:p>
            <w:pPr>
              <w:spacing w:line="276" w:lineRule="auto"/>
              <w:jc w:val="center"/>
              <w:rPr>
                <w:rFonts w:hint="eastAsia" w:ascii="宋体" w:hAnsi="宋体" w:cs="宋体"/>
                <w:color w:val="auto"/>
                <w:w w:val="90"/>
                <w:szCs w:val="22"/>
                <w:highlight w:val="none"/>
              </w:rPr>
            </w:pPr>
            <w:r>
              <w:rPr>
                <w:rFonts w:hint="eastAsia" w:ascii="宋体" w:hAnsi="宋体" w:cs="宋体"/>
                <w:color w:val="auto"/>
                <w:w w:val="90"/>
                <w:szCs w:val="22"/>
                <w:highlight w:val="none"/>
              </w:rPr>
              <w:t>3</w:t>
            </w:r>
          </w:p>
        </w:tc>
        <w:tc>
          <w:tcPr>
            <w:tcW w:w="1397" w:type="dxa"/>
            <w:noWrap w:val="0"/>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rPr>
              <w:t>交货及安装地点</w:t>
            </w:r>
          </w:p>
        </w:tc>
        <w:tc>
          <w:tcPr>
            <w:tcW w:w="7814" w:type="dxa"/>
            <w:noWrap w:val="0"/>
            <w:vAlign w:val="center"/>
          </w:tcPr>
          <w:p>
            <w:pPr>
              <w:spacing w:line="276" w:lineRule="auto"/>
              <w:rPr>
                <w:rFonts w:hint="eastAsia" w:ascii="宋体" w:hAnsi="宋体" w:cs="宋体"/>
                <w:color w:val="auto"/>
                <w:highlight w:val="none"/>
              </w:rPr>
            </w:pPr>
            <w:r>
              <w:rPr>
                <w:rFonts w:hint="eastAsia" w:ascii="宋体" w:hAnsi="宋体" w:cs="宋体"/>
                <w:color w:val="auto"/>
                <w:highlight w:val="none"/>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817" w:type="dxa"/>
            <w:noWrap w:val="0"/>
            <w:vAlign w:val="center"/>
          </w:tcPr>
          <w:p>
            <w:pPr>
              <w:spacing w:line="276" w:lineRule="auto"/>
              <w:jc w:val="center"/>
              <w:rPr>
                <w:rFonts w:hint="eastAsia" w:ascii="宋体" w:hAnsi="宋体" w:cs="宋体"/>
                <w:color w:val="auto"/>
                <w:w w:val="90"/>
                <w:szCs w:val="22"/>
                <w:highlight w:val="none"/>
              </w:rPr>
            </w:pPr>
            <w:r>
              <w:rPr>
                <w:rFonts w:hint="eastAsia" w:ascii="宋体" w:hAnsi="宋体" w:cs="宋体"/>
                <w:color w:val="auto"/>
                <w:w w:val="90"/>
                <w:szCs w:val="22"/>
                <w:highlight w:val="none"/>
              </w:rPr>
              <w:t>4</w:t>
            </w:r>
          </w:p>
        </w:tc>
        <w:tc>
          <w:tcPr>
            <w:tcW w:w="1397" w:type="dxa"/>
            <w:noWrap w:val="0"/>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rPr>
              <w:t>安装要求</w:t>
            </w:r>
          </w:p>
        </w:tc>
        <w:tc>
          <w:tcPr>
            <w:tcW w:w="7814" w:type="dxa"/>
            <w:noWrap w:val="0"/>
            <w:vAlign w:val="center"/>
          </w:tcPr>
          <w:p>
            <w:pPr>
              <w:spacing w:line="276" w:lineRule="auto"/>
              <w:rPr>
                <w:rFonts w:hint="eastAsia" w:ascii="宋体" w:hAnsi="宋体" w:cs="宋体"/>
                <w:color w:val="auto"/>
                <w:highlight w:val="none"/>
              </w:rPr>
            </w:pPr>
            <w:r>
              <w:rPr>
                <w:rFonts w:hint="eastAsia" w:ascii="宋体" w:hAnsi="宋体" w:cs="宋体"/>
                <w:color w:val="auto"/>
                <w:highlight w:val="none"/>
              </w:rPr>
              <w:t>（1）安装标准：符合国家安全技术标准。</w:t>
            </w:r>
          </w:p>
          <w:p>
            <w:pPr>
              <w:spacing w:line="276" w:lineRule="auto"/>
              <w:rPr>
                <w:rFonts w:hint="eastAsia" w:ascii="宋体" w:hAnsi="宋体" w:cs="宋体"/>
                <w:color w:val="auto"/>
                <w:highlight w:val="none"/>
              </w:rPr>
            </w:pPr>
            <w:r>
              <w:rPr>
                <w:rFonts w:hint="eastAsia" w:ascii="宋体" w:hAnsi="宋体" w:cs="宋体"/>
                <w:color w:val="auto"/>
                <w:highlight w:val="none"/>
              </w:rPr>
              <w:t>（2）安装过程中发生的费用由卖方负责。投标供应商应在《商务技术文件》中提供其安装调试计划和对安装场地和环境的要求。</w:t>
            </w:r>
          </w:p>
          <w:p>
            <w:pPr>
              <w:spacing w:line="276" w:lineRule="auto"/>
              <w:rPr>
                <w:rFonts w:hint="eastAsia" w:ascii="宋体" w:hAnsi="宋体" w:cs="宋体"/>
                <w:color w:val="auto"/>
                <w:highlight w:val="none"/>
              </w:rPr>
            </w:pPr>
            <w:r>
              <w:rPr>
                <w:rFonts w:hint="eastAsia" w:ascii="宋体" w:hAnsi="宋体" w:cs="宋体"/>
                <w:color w:val="auto"/>
                <w:highlight w:val="none"/>
              </w:rPr>
              <w:t>（3）本项目所有货物的安装涉及的所有工作及配件辅材均由中标人负责，费用计入投标总价。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817" w:type="dxa"/>
            <w:noWrap w:val="0"/>
            <w:vAlign w:val="center"/>
          </w:tcPr>
          <w:p>
            <w:pPr>
              <w:spacing w:line="276" w:lineRule="auto"/>
              <w:jc w:val="center"/>
              <w:rPr>
                <w:rFonts w:hint="eastAsia" w:ascii="宋体" w:hAnsi="宋体" w:cs="宋体"/>
                <w:color w:val="auto"/>
                <w:w w:val="90"/>
                <w:szCs w:val="22"/>
                <w:highlight w:val="none"/>
              </w:rPr>
            </w:pPr>
            <w:r>
              <w:rPr>
                <w:rFonts w:hint="eastAsia" w:ascii="宋体" w:hAnsi="宋体" w:cs="宋体"/>
                <w:color w:val="auto"/>
                <w:w w:val="90"/>
                <w:szCs w:val="22"/>
                <w:highlight w:val="none"/>
              </w:rPr>
              <w:t>5</w:t>
            </w:r>
          </w:p>
        </w:tc>
        <w:tc>
          <w:tcPr>
            <w:tcW w:w="1397" w:type="dxa"/>
            <w:noWrap w:val="0"/>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rPr>
              <w:t>验收</w:t>
            </w:r>
          </w:p>
        </w:tc>
        <w:tc>
          <w:tcPr>
            <w:tcW w:w="7814" w:type="dxa"/>
            <w:noWrap w:val="0"/>
            <w:vAlign w:val="center"/>
          </w:tcPr>
          <w:p>
            <w:pPr>
              <w:spacing w:line="276" w:lineRule="auto"/>
              <w:rPr>
                <w:rFonts w:hint="eastAsia" w:ascii="宋体" w:hAnsi="宋体" w:cs="宋体"/>
                <w:color w:val="auto"/>
                <w:highlight w:val="none"/>
              </w:rPr>
            </w:pPr>
            <w:r>
              <w:rPr>
                <w:rFonts w:hint="eastAsia" w:ascii="宋体" w:hAnsi="宋体" w:cs="宋体"/>
                <w:color w:val="auto"/>
                <w:highlight w:val="none"/>
              </w:rPr>
              <w:t>（1）中标供应商应派专业的技术人员协助采购人进行验收。</w:t>
            </w:r>
          </w:p>
          <w:p>
            <w:pPr>
              <w:spacing w:line="276" w:lineRule="auto"/>
              <w:rPr>
                <w:rFonts w:hint="eastAsia" w:ascii="宋体" w:hAnsi="宋体" w:cs="宋体"/>
                <w:color w:val="auto"/>
                <w:highlight w:val="none"/>
              </w:rPr>
            </w:pPr>
            <w:r>
              <w:rPr>
                <w:rFonts w:hint="eastAsia" w:ascii="宋体" w:hAnsi="宋体" w:cs="宋体"/>
                <w:color w:val="auto"/>
                <w:highlight w:val="none"/>
              </w:rPr>
              <w:t>（2）验收标准：符合国家有关技术规范和技术标准。</w:t>
            </w:r>
          </w:p>
          <w:p>
            <w:pPr>
              <w:spacing w:line="276" w:lineRule="auto"/>
              <w:rPr>
                <w:rFonts w:hint="eastAsia" w:ascii="宋体" w:hAnsi="宋体" w:cs="宋体"/>
                <w:color w:val="auto"/>
                <w:highlight w:val="none"/>
              </w:rPr>
            </w:pPr>
            <w:r>
              <w:rPr>
                <w:rFonts w:hint="eastAsia" w:ascii="宋体" w:hAnsi="宋体" w:cs="宋体"/>
                <w:color w:val="auto"/>
                <w:highlight w:val="none"/>
              </w:rPr>
              <w:t>（3）验收过程中</w:t>
            </w:r>
            <w:r>
              <w:rPr>
                <w:rFonts w:hint="eastAsia" w:ascii="宋体" w:hAnsi="宋体" w:cs="宋体"/>
                <w:color w:val="auto"/>
                <w:highlight w:val="none"/>
                <w:lang w:eastAsia="zh-CN"/>
              </w:rPr>
              <w:t>介</w:t>
            </w:r>
            <w:r>
              <w:rPr>
                <w:rFonts w:hint="eastAsia" w:ascii="宋体" w:hAnsi="宋体" w:cs="宋体"/>
                <w:color w:val="auto"/>
                <w:highlight w:val="none"/>
              </w:rPr>
              <w:t>发生的第三方检测验收费用（商检、质检等）由中标供应商负责。</w:t>
            </w:r>
          </w:p>
          <w:p>
            <w:pPr>
              <w:spacing w:line="276" w:lineRule="auto"/>
              <w:rPr>
                <w:rFonts w:hint="eastAsia" w:ascii="宋体" w:hAnsi="宋体" w:cs="宋体"/>
                <w:color w:val="auto"/>
                <w:highlight w:val="none"/>
              </w:rPr>
            </w:pPr>
            <w:r>
              <w:rPr>
                <w:rFonts w:hint="eastAsia" w:ascii="宋体" w:hAnsi="宋体" w:cs="宋体"/>
                <w:color w:val="auto"/>
                <w:highlight w:val="none"/>
              </w:rPr>
              <w:t>（4）质量要求：一次性100%验收合格，否则每次罚款合同金额的1%（具体按合同约定执行）。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817" w:type="dxa"/>
            <w:noWrap w:val="0"/>
            <w:vAlign w:val="center"/>
          </w:tcPr>
          <w:p>
            <w:pPr>
              <w:spacing w:line="276" w:lineRule="auto"/>
              <w:jc w:val="center"/>
              <w:rPr>
                <w:rFonts w:hint="eastAsia" w:ascii="宋体" w:hAnsi="宋体" w:cs="宋体"/>
                <w:color w:val="auto"/>
                <w:w w:val="90"/>
                <w:szCs w:val="22"/>
                <w:highlight w:val="none"/>
              </w:rPr>
            </w:pPr>
            <w:r>
              <w:rPr>
                <w:rFonts w:hint="eastAsia" w:ascii="宋体" w:hAnsi="宋体" w:cs="宋体"/>
                <w:color w:val="auto"/>
                <w:w w:val="90"/>
                <w:szCs w:val="22"/>
                <w:highlight w:val="none"/>
              </w:rPr>
              <w:t>6</w:t>
            </w:r>
          </w:p>
        </w:tc>
        <w:tc>
          <w:tcPr>
            <w:tcW w:w="1397" w:type="dxa"/>
            <w:noWrap w:val="0"/>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rPr>
              <w:t>培训</w:t>
            </w:r>
          </w:p>
        </w:tc>
        <w:tc>
          <w:tcPr>
            <w:tcW w:w="7814" w:type="dxa"/>
            <w:noWrap w:val="0"/>
            <w:vAlign w:val="center"/>
          </w:tcPr>
          <w:p>
            <w:pPr>
              <w:spacing w:line="276" w:lineRule="auto"/>
              <w:rPr>
                <w:rFonts w:hint="eastAsia" w:ascii="宋体" w:hAnsi="宋体" w:cs="宋体"/>
                <w:color w:val="auto"/>
                <w:highlight w:val="none"/>
              </w:rPr>
            </w:pPr>
            <w:r>
              <w:rPr>
                <w:rFonts w:hint="eastAsia" w:ascii="宋体" w:hAnsi="宋体" w:cs="宋体"/>
                <w:color w:val="auto"/>
                <w:highlight w:val="none"/>
              </w:rPr>
              <w:t>验收合格后应提供操作及日常维护培训。具体培训方案请在投标文件中明确说明，包括培训的人次数量、培训时长、培训课程安排等，其中参训人员的住宿和餐费由中标供应商承担，计入投标总价。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7" w:hRule="atLeast"/>
        </w:trPr>
        <w:tc>
          <w:tcPr>
            <w:tcW w:w="817" w:type="dxa"/>
            <w:noWrap w:val="0"/>
            <w:vAlign w:val="center"/>
          </w:tcPr>
          <w:p>
            <w:pPr>
              <w:spacing w:line="276" w:lineRule="auto"/>
              <w:jc w:val="center"/>
              <w:rPr>
                <w:rFonts w:hint="eastAsia" w:ascii="宋体" w:hAnsi="宋体" w:cs="宋体"/>
                <w:color w:val="auto"/>
                <w:w w:val="90"/>
                <w:szCs w:val="22"/>
                <w:highlight w:val="none"/>
              </w:rPr>
            </w:pPr>
            <w:r>
              <w:rPr>
                <w:rFonts w:hint="eastAsia" w:ascii="宋体" w:hAnsi="宋体" w:cs="宋体"/>
                <w:color w:val="auto"/>
                <w:w w:val="90"/>
                <w:szCs w:val="22"/>
                <w:highlight w:val="none"/>
              </w:rPr>
              <w:t>7</w:t>
            </w:r>
          </w:p>
        </w:tc>
        <w:tc>
          <w:tcPr>
            <w:tcW w:w="1397" w:type="dxa"/>
            <w:noWrap w:val="0"/>
            <w:vAlign w:val="center"/>
          </w:tcPr>
          <w:p>
            <w:pPr>
              <w:spacing w:line="276" w:lineRule="auto"/>
              <w:jc w:val="center"/>
              <w:rPr>
                <w:rFonts w:hint="eastAsia" w:ascii="宋体" w:hAnsi="宋体" w:cs="宋体"/>
                <w:color w:val="auto"/>
                <w:w w:val="90"/>
                <w:szCs w:val="22"/>
                <w:highlight w:val="none"/>
              </w:rPr>
            </w:pPr>
            <w:r>
              <w:rPr>
                <w:rFonts w:hint="eastAsia" w:ascii="宋体" w:hAnsi="宋体" w:cs="宋体"/>
                <w:color w:val="auto"/>
                <w:w w:val="90"/>
                <w:szCs w:val="22"/>
                <w:highlight w:val="none"/>
              </w:rPr>
              <w:t>售后服务</w:t>
            </w:r>
          </w:p>
        </w:tc>
        <w:tc>
          <w:tcPr>
            <w:tcW w:w="7814" w:type="dxa"/>
            <w:noWrap w:val="0"/>
            <w:vAlign w:val="center"/>
          </w:tcPr>
          <w:p>
            <w:pPr>
              <w:numPr>
                <w:ilvl w:val="0"/>
                <w:numId w:val="10"/>
              </w:numPr>
              <w:spacing w:line="276" w:lineRule="auto"/>
              <w:rPr>
                <w:rFonts w:hint="eastAsia"/>
                <w:color w:val="auto"/>
                <w:highlight w:val="none"/>
                <w:lang w:eastAsia="zh-CN"/>
              </w:rPr>
            </w:pPr>
            <w:r>
              <w:rPr>
                <w:rFonts w:hint="eastAsia"/>
                <w:color w:val="auto"/>
                <w:highlight w:val="none"/>
              </w:rPr>
              <w:t>质保期内因货物本身缺陷</w:t>
            </w:r>
            <w:r>
              <w:rPr>
                <w:rFonts w:hint="eastAsia"/>
                <w:color w:val="auto"/>
                <w:highlight w:val="none"/>
                <w:lang w:eastAsia="zh-CN"/>
              </w:rPr>
              <w:t>（非人为因素）</w:t>
            </w:r>
            <w:r>
              <w:rPr>
                <w:rFonts w:hint="eastAsia"/>
                <w:color w:val="auto"/>
                <w:highlight w:val="none"/>
              </w:rPr>
              <w:t>造成各种故障应由</w:t>
            </w:r>
            <w:r>
              <w:rPr>
                <w:rFonts w:hint="eastAsia"/>
                <w:color w:val="auto"/>
                <w:highlight w:val="none"/>
                <w:lang w:val="en-US" w:eastAsia="zh-CN"/>
              </w:rPr>
              <w:t>供应商</w:t>
            </w:r>
            <w:r>
              <w:rPr>
                <w:rFonts w:hint="eastAsia"/>
                <w:color w:val="auto"/>
                <w:highlight w:val="none"/>
              </w:rPr>
              <w:t>免费技术服务和维修，并在《投标文件》中说明在保质期内提供的服务计划。要求投标供应商提供24小时技术咨询服务，在采购人提出故障报修后，服务人员30分钟内响应，紧急救援2小时内赶到现场，一般故障4小时内处理完毕，疑难故障7天内解决。</w:t>
            </w:r>
            <w:r>
              <w:rPr>
                <w:rFonts w:hint="eastAsia"/>
                <w:color w:val="auto"/>
                <w:highlight w:val="none"/>
                <w:lang w:eastAsia="zh-CN"/>
              </w:rPr>
              <w:t>若中标供应商无实质性响应，采购人可采取必要的补救措施，发生的风险和费用将由中标供应商承担。因质量问题造成停运，48小时后每停运一天赔偿600元/辆，累计计算。</w:t>
            </w:r>
          </w:p>
          <w:p>
            <w:pPr>
              <w:spacing w:line="276" w:lineRule="auto"/>
              <w:rPr>
                <w:rFonts w:hint="eastAsia"/>
                <w:color w:val="auto"/>
                <w:highlight w:val="none"/>
              </w:rPr>
            </w:pPr>
            <w:r>
              <w:rPr>
                <w:rFonts w:hint="eastAsia"/>
                <w:color w:val="auto"/>
                <w:highlight w:val="none"/>
              </w:rPr>
              <w:t>（2）投标供应商应提供质保期后的服务计划或建议，明确收费事项及标准，保修后免费维修。</w:t>
            </w:r>
          </w:p>
          <w:p>
            <w:pPr>
              <w:spacing w:line="276" w:lineRule="auto"/>
              <w:rPr>
                <w:rFonts w:hint="eastAsia"/>
                <w:color w:val="auto"/>
                <w:highlight w:val="none"/>
              </w:rPr>
            </w:pPr>
            <w:r>
              <w:rPr>
                <w:rFonts w:hint="eastAsia"/>
                <w:color w:val="auto"/>
                <w:highlight w:val="none"/>
              </w:rPr>
              <w:t>（3）售后服务须有制造商工程师的支持。</w:t>
            </w:r>
          </w:p>
          <w:p>
            <w:pPr>
              <w:spacing w:line="276" w:lineRule="auto"/>
              <w:rPr>
                <w:rFonts w:hint="eastAsia"/>
                <w:color w:val="auto"/>
                <w:highlight w:val="none"/>
              </w:rPr>
            </w:pPr>
            <w:r>
              <w:rPr>
                <w:rFonts w:hint="eastAsia"/>
                <w:color w:val="auto"/>
                <w:highlight w:val="none"/>
              </w:rPr>
              <w:t>（4）质保期内每年至少两次定期回访。</w:t>
            </w:r>
          </w:p>
          <w:p>
            <w:pPr>
              <w:pStyle w:val="2"/>
              <w:rPr>
                <w:rFonts w:hint="eastAsia"/>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w:t>
            </w:r>
            <w:r>
              <w:rPr>
                <w:rFonts w:hint="eastAsia"/>
                <w:color w:val="auto"/>
                <w:highlight w:val="none"/>
                <w:lang w:eastAsia="zh-CN"/>
              </w:rPr>
              <w:t>车辆投入运营后，中标供应商提供三个月现场售后服务，所需费用包含在投标总价内。</w:t>
            </w:r>
          </w:p>
          <w:p>
            <w:pPr>
              <w:pStyle w:val="2"/>
              <w:rPr>
                <w:rFonts w:hint="eastAsia" w:ascii="宋体" w:hAnsi="宋体" w:cs="宋体"/>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）每年的法定节假日（如：春节、五一、十一、元旦等）应安排人员值班，并提供采购人所需要的特定的技术支持（含节假日现场技术服务工作）。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18" w:hRule="atLeast"/>
        </w:trPr>
        <w:tc>
          <w:tcPr>
            <w:tcW w:w="817" w:type="dxa"/>
            <w:noWrap w:val="0"/>
            <w:vAlign w:val="center"/>
          </w:tcPr>
          <w:p>
            <w:pPr>
              <w:spacing w:line="276" w:lineRule="auto"/>
              <w:jc w:val="center"/>
              <w:rPr>
                <w:rFonts w:hint="eastAsia" w:ascii="宋体" w:hAnsi="宋体" w:cs="宋体"/>
                <w:color w:val="auto"/>
                <w:w w:val="90"/>
                <w:szCs w:val="22"/>
                <w:highlight w:val="none"/>
              </w:rPr>
            </w:pPr>
            <w:r>
              <w:rPr>
                <w:rFonts w:hint="eastAsia" w:ascii="宋体" w:hAnsi="宋体" w:cs="宋体"/>
                <w:color w:val="auto"/>
                <w:w w:val="90"/>
                <w:szCs w:val="22"/>
                <w:highlight w:val="none"/>
              </w:rPr>
              <w:t>8</w:t>
            </w:r>
          </w:p>
        </w:tc>
        <w:tc>
          <w:tcPr>
            <w:tcW w:w="1397" w:type="dxa"/>
            <w:noWrap w:val="0"/>
            <w:vAlign w:val="center"/>
          </w:tcPr>
          <w:p>
            <w:pPr>
              <w:spacing w:line="276" w:lineRule="auto"/>
              <w:jc w:val="center"/>
              <w:rPr>
                <w:rFonts w:hint="eastAsia" w:ascii="宋体" w:hAnsi="宋体" w:cs="宋体"/>
                <w:color w:val="auto"/>
                <w:w w:val="90"/>
                <w:szCs w:val="22"/>
                <w:highlight w:val="none"/>
              </w:rPr>
            </w:pPr>
            <w:r>
              <w:rPr>
                <w:rFonts w:hint="eastAsia" w:ascii="宋体" w:hAnsi="宋体" w:cs="宋体"/>
                <w:color w:val="auto"/>
                <w:highlight w:val="none"/>
                <w:lang w:val="zh-CN"/>
              </w:rPr>
              <w:t>温州长安集团有限公司及附属子公司</w:t>
            </w:r>
            <w:r>
              <w:rPr>
                <w:rFonts w:hint="eastAsia" w:ascii="宋体" w:hAnsi="宋体" w:cs="宋体"/>
                <w:color w:val="auto"/>
                <w:highlight w:val="none"/>
              </w:rPr>
              <w:t>付款方式</w:t>
            </w:r>
          </w:p>
        </w:tc>
        <w:tc>
          <w:tcPr>
            <w:tcW w:w="7814" w:type="dxa"/>
            <w:noWrap w:val="0"/>
            <w:vAlign w:val="center"/>
          </w:tcPr>
          <w:p>
            <w:pPr>
              <w:spacing w:line="276" w:lineRule="auto"/>
              <w:rPr>
                <w:rFonts w:hint="eastAsia"/>
                <w:color w:val="auto"/>
                <w:highlight w:val="none"/>
              </w:rPr>
            </w:pPr>
            <w:r>
              <w:rPr>
                <w:rFonts w:hint="eastAsia"/>
                <w:color w:val="auto"/>
                <w:highlight w:val="none"/>
              </w:rPr>
              <w:t xml:space="preserve">▲1.商务条款（本次采购所有支付方式均用电子银行承兑汇票形式）  </w:t>
            </w:r>
          </w:p>
          <w:p>
            <w:pPr>
              <w:spacing w:line="276" w:lineRule="auto"/>
              <w:rPr>
                <w:rFonts w:hint="eastAsia"/>
                <w:color w:val="auto"/>
                <w:highlight w:val="none"/>
              </w:rPr>
            </w:pPr>
            <w:r>
              <w:rPr>
                <w:rFonts w:hint="eastAsia"/>
                <w:color w:val="auto"/>
                <w:highlight w:val="none"/>
              </w:rPr>
              <w:t>1.1为合同签订后7个工作日内，</w:t>
            </w:r>
            <w:r>
              <w:rPr>
                <w:rFonts w:hint="eastAsia"/>
                <w:color w:val="auto"/>
                <w:highlight w:val="none"/>
                <w:lang w:eastAsia="zh-CN"/>
              </w:rPr>
              <w:t>中标供应商</w:t>
            </w:r>
            <w:r>
              <w:rPr>
                <w:rFonts w:hint="eastAsia"/>
                <w:color w:val="auto"/>
                <w:highlight w:val="none"/>
              </w:rPr>
              <w:t>须向采购人缴纳合同金额</w:t>
            </w:r>
            <w:r>
              <w:rPr>
                <w:rFonts w:hint="eastAsia"/>
                <w:color w:val="auto"/>
                <w:highlight w:val="none"/>
                <w:lang w:val="en-US" w:eastAsia="zh-CN"/>
              </w:rPr>
              <w:t>5</w:t>
            </w:r>
            <w:r>
              <w:rPr>
                <w:rFonts w:hint="eastAsia"/>
                <w:color w:val="auto"/>
                <w:highlight w:val="none"/>
              </w:rPr>
              <w:t>%的履约保证金；</w:t>
            </w:r>
          </w:p>
          <w:p>
            <w:pPr>
              <w:spacing w:line="276" w:lineRule="auto"/>
              <w:rPr>
                <w:rFonts w:hint="eastAsia"/>
                <w:color w:val="auto"/>
                <w:highlight w:val="none"/>
              </w:rPr>
            </w:pPr>
            <w:r>
              <w:rPr>
                <w:rFonts w:hint="eastAsia"/>
                <w:color w:val="auto"/>
                <w:highlight w:val="none"/>
              </w:rPr>
              <w:t>1.2合同付款方式为：本项目采用分期付款方式。</w:t>
            </w:r>
            <w:r>
              <w:rPr>
                <w:rFonts w:hint="eastAsia"/>
                <w:color w:val="auto"/>
                <w:highlight w:val="none"/>
                <w:lang w:val="en-US" w:eastAsia="zh-CN"/>
              </w:rPr>
              <w:t>履约保证金到账</w:t>
            </w:r>
            <w:r>
              <w:rPr>
                <w:rFonts w:hint="eastAsia"/>
                <w:color w:val="auto"/>
                <w:highlight w:val="none"/>
              </w:rPr>
              <w:t>后的2个工作日内支付合同总价的20%作为订金；交车至指定地点并验收合格及办理上牌手续后的5个工作日内支付合同总价的75%</w:t>
            </w:r>
            <w:r>
              <w:rPr>
                <w:rFonts w:hint="eastAsia"/>
                <w:color w:val="auto"/>
                <w:highlight w:val="none"/>
                <w:lang w:eastAsia="zh-CN"/>
              </w:rPr>
              <w:t>，</w:t>
            </w:r>
            <w:r>
              <w:rPr>
                <w:rFonts w:hint="eastAsia"/>
                <w:color w:val="auto"/>
                <w:highlight w:val="none"/>
              </w:rPr>
              <w:t>20%订金转为20%的合同付款金额，</w:t>
            </w:r>
            <w:r>
              <w:rPr>
                <w:rFonts w:hint="eastAsia"/>
                <w:color w:val="auto"/>
                <w:highlight w:val="none"/>
                <w:lang w:eastAsia="zh-CN"/>
              </w:rPr>
              <w:t>旧车所有事项处理完毕后</w:t>
            </w:r>
            <w:r>
              <w:rPr>
                <w:rFonts w:hint="eastAsia"/>
                <w:color w:val="auto"/>
                <w:highlight w:val="none"/>
              </w:rPr>
              <w:t>无息退还履约保证金，交车时交付全额发票；剩余合同总价的5%，作为整车设备质保金，运行满1年后无未处理完毕的质量、服务纠纷时，甲方在15个工作日内支付乙方剩余的5%质保金。</w:t>
            </w:r>
          </w:p>
          <w:p>
            <w:pPr>
              <w:spacing w:line="276" w:lineRule="auto"/>
              <w:rPr>
                <w:rFonts w:hint="default" w:eastAsia="楷体_GB2312"/>
                <w:color w:val="auto"/>
                <w:highlight w:val="none"/>
                <w:lang w:val="en-US" w:eastAsia="zh-CN"/>
              </w:rPr>
            </w:pPr>
            <w:r>
              <w:rPr>
                <w:rFonts w:hint="eastAsia"/>
                <w:color w:val="auto"/>
                <w:highlight w:val="none"/>
              </w:rPr>
              <w:t>1.3毁约说明：如</w:t>
            </w:r>
            <w:r>
              <w:rPr>
                <w:rFonts w:hint="eastAsia"/>
                <w:color w:val="auto"/>
                <w:highlight w:val="none"/>
                <w:lang w:eastAsia="zh-CN"/>
              </w:rPr>
              <w:t>中标供应商</w:t>
            </w:r>
            <w:r>
              <w:rPr>
                <w:rFonts w:hint="eastAsia"/>
                <w:color w:val="auto"/>
                <w:highlight w:val="none"/>
              </w:rPr>
              <w:t>在执行合同时出现毁约情况，须向采购人赔偿双倍的订金金额。</w:t>
            </w:r>
          </w:p>
        </w:tc>
      </w:tr>
    </w:tbl>
    <w:p>
      <w:pPr>
        <w:numPr>
          <w:ilvl w:val="0"/>
          <w:numId w:val="0"/>
        </w:numPr>
        <w:spacing w:line="360" w:lineRule="auto"/>
        <w:jc w:val="left"/>
        <w:rPr>
          <w:rFonts w:hint="eastAsia" w:hAnsi="宋体"/>
          <w:b/>
          <w:color w:val="auto"/>
          <w:highlight w:val="none"/>
          <w:u w:val="single"/>
          <w:lang w:val="zh-CN" w:eastAsia="zh-CN"/>
        </w:rPr>
      </w:pPr>
    </w:p>
    <w:p>
      <w:pPr>
        <w:numPr>
          <w:ilvl w:val="0"/>
          <w:numId w:val="0"/>
        </w:numPr>
        <w:spacing w:line="360" w:lineRule="auto"/>
        <w:jc w:val="left"/>
        <w:rPr>
          <w:rFonts w:hint="eastAsia" w:hAnsi="宋体"/>
          <w:b/>
          <w:color w:val="auto"/>
          <w:highlight w:val="none"/>
          <w:u w:val="single"/>
          <w:lang w:val="zh-CN" w:eastAsia="zh-CN"/>
        </w:rPr>
      </w:pPr>
      <w:r>
        <w:rPr>
          <w:rFonts w:hint="eastAsia" w:hAnsi="宋体"/>
          <w:b/>
          <w:color w:val="auto"/>
          <w:highlight w:val="none"/>
          <w:u w:val="single"/>
          <w:lang w:val="en-US" w:eastAsia="zh-CN"/>
        </w:rPr>
        <w:t>五</w:t>
      </w:r>
      <w:r>
        <w:rPr>
          <w:rFonts w:hint="eastAsia" w:hAnsi="宋体"/>
          <w:b/>
          <w:color w:val="auto"/>
          <w:highlight w:val="none"/>
          <w:u w:val="single"/>
          <w:lang w:val="zh-CN" w:eastAsia="zh-CN"/>
        </w:rPr>
        <w:t>、旧车回购：本次招标实行新车销售和旧车回购相结合的方式</w:t>
      </w:r>
    </w:p>
    <w:p>
      <w:pPr>
        <w:adjustRightInd w:val="0"/>
        <w:snapToGrid w:val="0"/>
        <w:spacing w:line="380" w:lineRule="exact"/>
        <w:ind w:firstLine="440" w:firstLineChars="200"/>
        <w:rPr>
          <w:rFonts w:hint="eastAsia" w:ascii="宋体"/>
          <w:color w:val="auto"/>
          <w:szCs w:val="22"/>
          <w:highlight w:val="none"/>
        </w:rPr>
      </w:pPr>
      <w:r>
        <w:rPr>
          <w:rFonts w:hint="eastAsia" w:ascii="宋体" w:eastAsia="宋体"/>
          <w:color w:val="auto"/>
          <w:szCs w:val="22"/>
          <w:highlight w:val="none"/>
          <w:lang w:val="en-US" w:eastAsia="zh-CN"/>
        </w:rPr>
        <w:t>1、</w:t>
      </w:r>
      <w:r>
        <w:rPr>
          <w:rFonts w:hint="eastAsia" w:ascii="宋体"/>
          <w:color w:val="auto"/>
          <w:szCs w:val="22"/>
          <w:highlight w:val="none"/>
        </w:rPr>
        <w:t>凡参与投标的单位，视作已知并同意新车销售和旧车回购相结合的方式；</w:t>
      </w:r>
    </w:p>
    <w:p>
      <w:pPr>
        <w:adjustRightInd w:val="0"/>
        <w:snapToGrid w:val="0"/>
        <w:spacing w:line="380" w:lineRule="exact"/>
        <w:ind w:firstLine="440" w:firstLineChars="200"/>
        <w:rPr>
          <w:rFonts w:hint="eastAsia" w:ascii="宋体"/>
          <w:color w:val="auto"/>
          <w:szCs w:val="22"/>
          <w:highlight w:val="none"/>
        </w:rPr>
      </w:pPr>
      <w:r>
        <w:rPr>
          <w:rFonts w:hint="eastAsia" w:ascii="宋体" w:eastAsia="宋体"/>
          <w:color w:val="auto"/>
          <w:szCs w:val="22"/>
          <w:highlight w:val="none"/>
          <w:lang w:val="en-US" w:eastAsia="zh-CN"/>
        </w:rPr>
        <w:t>2、</w:t>
      </w:r>
      <w:r>
        <w:rPr>
          <w:rFonts w:hint="eastAsia" w:ascii="宋体" w:eastAsia="宋体"/>
          <w:color w:val="auto"/>
          <w:szCs w:val="22"/>
          <w:highlight w:val="none"/>
          <w:lang w:eastAsia="zh-CN"/>
        </w:rPr>
        <w:t>投标供应商</w:t>
      </w:r>
      <w:r>
        <w:rPr>
          <w:rFonts w:hint="eastAsia" w:ascii="宋体"/>
          <w:color w:val="auto"/>
          <w:szCs w:val="22"/>
          <w:highlight w:val="none"/>
        </w:rPr>
        <w:t>在投标前需熟知所投项目相对应的旧车回购数量、型号、金额等；</w:t>
      </w:r>
    </w:p>
    <w:p>
      <w:pPr>
        <w:adjustRightInd w:val="0"/>
        <w:snapToGrid w:val="0"/>
        <w:spacing w:line="380" w:lineRule="exact"/>
        <w:ind w:firstLine="440" w:firstLineChars="200"/>
        <w:rPr>
          <w:rFonts w:hint="eastAsia" w:ascii="宋体"/>
          <w:color w:val="auto"/>
          <w:szCs w:val="22"/>
          <w:highlight w:val="none"/>
        </w:rPr>
      </w:pPr>
      <w:r>
        <w:rPr>
          <w:rFonts w:hint="eastAsia" w:ascii="宋体" w:eastAsia="宋体"/>
          <w:color w:val="auto"/>
          <w:szCs w:val="22"/>
          <w:highlight w:val="none"/>
          <w:lang w:val="en-US" w:eastAsia="zh-CN"/>
        </w:rPr>
        <w:t>3、</w:t>
      </w:r>
      <w:r>
        <w:rPr>
          <w:rFonts w:hint="eastAsia" w:ascii="宋体" w:eastAsia="宋体"/>
          <w:color w:val="auto"/>
          <w:szCs w:val="22"/>
          <w:highlight w:val="none"/>
          <w:lang w:eastAsia="zh-CN"/>
        </w:rPr>
        <w:t>中标供应商</w:t>
      </w:r>
      <w:r>
        <w:rPr>
          <w:rFonts w:hint="eastAsia" w:ascii="宋体"/>
          <w:color w:val="auto"/>
          <w:szCs w:val="22"/>
          <w:highlight w:val="none"/>
        </w:rPr>
        <w:t>必须先签订所中项目相对应的旧车回购协议，再签订新车购车合同，招标人配合中标人做好旧车处置相关程序，直至车辆销户为止。</w:t>
      </w:r>
    </w:p>
    <w:p>
      <w:pPr>
        <w:adjustRightInd w:val="0"/>
        <w:snapToGrid w:val="0"/>
        <w:spacing w:line="380" w:lineRule="exact"/>
        <w:ind w:firstLine="440" w:firstLineChars="200"/>
        <w:rPr>
          <w:rFonts w:hint="eastAsia" w:ascii="宋体"/>
          <w:color w:val="auto"/>
          <w:szCs w:val="22"/>
          <w:highlight w:val="none"/>
          <w:lang w:val="en-US" w:eastAsia="zh-CN"/>
        </w:rPr>
      </w:pPr>
      <w:r>
        <w:rPr>
          <w:rFonts w:hint="eastAsia" w:ascii="宋体"/>
          <w:color w:val="auto"/>
          <w:szCs w:val="22"/>
          <w:highlight w:val="none"/>
          <w:lang w:val="en-US" w:eastAsia="zh-CN"/>
        </w:rPr>
        <w:t>4、采购人分批次将旧车移交至中标供应商，中标供应商每批次在接到采购人通知后</w:t>
      </w:r>
      <w:r>
        <w:rPr>
          <w:rFonts w:hint="eastAsia" w:ascii="宋体"/>
          <w:color w:val="auto"/>
          <w:szCs w:val="22"/>
          <w:highlight w:val="none"/>
          <w:u w:val="single"/>
          <w:lang w:val="en-US" w:eastAsia="zh-CN"/>
        </w:rPr>
        <w:t>7 天</w:t>
      </w:r>
      <w:r>
        <w:rPr>
          <w:rFonts w:hint="eastAsia" w:ascii="宋体"/>
          <w:color w:val="auto"/>
          <w:szCs w:val="22"/>
          <w:highlight w:val="none"/>
          <w:u w:val="none"/>
          <w:lang w:val="en-US" w:eastAsia="zh-CN"/>
        </w:rPr>
        <w:t>内</w:t>
      </w:r>
      <w:r>
        <w:rPr>
          <w:rFonts w:hint="eastAsia" w:ascii="宋体"/>
          <w:color w:val="auto"/>
          <w:szCs w:val="22"/>
          <w:highlight w:val="none"/>
          <w:lang w:val="en-US" w:eastAsia="zh-CN"/>
        </w:rPr>
        <w:t>，完成车辆移交工作，车辆由供应商自行到采购人指定地点接收，所有旧车处理完毕后，</w:t>
      </w:r>
      <w:r>
        <w:rPr>
          <w:rFonts w:hint="eastAsia" w:ascii="宋体"/>
          <w:b/>
          <w:bCs/>
          <w:color w:val="auto"/>
          <w:szCs w:val="22"/>
          <w:highlight w:val="none"/>
          <w:lang w:val="en-US" w:eastAsia="zh-CN"/>
        </w:rPr>
        <w:t>中标供应商一次性将旧车回收款支付至采购人指定账户。</w:t>
      </w:r>
      <w:r>
        <w:rPr>
          <w:rFonts w:hint="eastAsia" w:ascii="宋体"/>
          <w:color w:val="auto"/>
          <w:szCs w:val="22"/>
          <w:highlight w:val="none"/>
          <w:lang w:val="en-US" w:eastAsia="zh-CN"/>
        </w:rPr>
        <w:t>旧车回购不包含监控设备、摄像头及车载移动机具。</w:t>
      </w:r>
    </w:p>
    <w:p>
      <w:pPr>
        <w:adjustRightInd w:val="0"/>
        <w:snapToGrid w:val="0"/>
        <w:spacing w:line="380" w:lineRule="exact"/>
        <w:ind w:firstLine="440" w:firstLineChars="200"/>
        <w:rPr>
          <w:rFonts w:hint="eastAsia" w:ascii="宋体"/>
          <w:color w:val="auto"/>
          <w:szCs w:val="22"/>
          <w:highlight w:val="none"/>
          <w:lang w:val="en-US" w:eastAsia="zh-CN"/>
        </w:rPr>
      </w:pPr>
      <w:r>
        <w:rPr>
          <w:rFonts w:hint="eastAsia" w:ascii="宋体"/>
          <w:color w:val="auto"/>
          <w:szCs w:val="22"/>
          <w:highlight w:val="none"/>
          <w:lang w:val="en-US" w:eastAsia="zh-CN"/>
        </w:rPr>
        <w:t>附件：</w:t>
      </w:r>
      <w:r>
        <w:rPr>
          <w:rFonts w:hint="eastAsia" w:ascii="宋体"/>
          <w:color w:val="auto"/>
          <w:szCs w:val="22"/>
          <w:highlight w:val="none"/>
          <w:lang w:val="zh-CN" w:eastAsia="zh-CN"/>
        </w:rPr>
        <w:t>旧车清单</w:t>
      </w:r>
    </w:p>
    <w:p>
      <w:pPr>
        <w:pStyle w:val="21"/>
        <w:rPr>
          <w:rFonts w:hint="default" w:ascii="宋体"/>
          <w:color w:val="auto"/>
          <w:szCs w:val="22"/>
          <w:highlight w:val="none"/>
          <w:lang w:val="en-US" w:eastAsia="zh-CN"/>
        </w:rPr>
      </w:pPr>
    </w:p>
    <w:p>
      <w:pPr>
        <w:pStyle w:val="38"/>
        <w:numPr>
          <w:ilvl w:val="0"/>
          <w:numId w:val="0"/>
        </w:numPr>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标项二：</w:t>
      </w:r>
    </w:p>
    <w:tbl>
      <w:tblPr>
        <w:tblStyle w:val="4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7"/>
        <w:gridCol w:w="498"/>
        <w:gridCol w:w="1811"/>
        <w:gridCol w:w="1316"/>
        <w:gridCol w:w="1316"/>
        <w:gridCol w:w="758"/>
        <w:gridCol w:w="844"/>
        <w:gridCol w:w="911"/>
        <w:gridCol w:w="917"/>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序号</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座位</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厂家型号</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所属公司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市场价</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已使用期数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经济使用期数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年限法成新率</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综合调整系数</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评估值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合客牌HK6669G</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w:t>
            </w:r>
          </w:p>
        </w:tc>
        <w:tc>
          <w:tcPr>
            <w:tcW w:w="24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合客牌HK6608K4</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24</w:t>
            </w:r>
          </w:p>
        </w:tc>
        <w:tc>
          <w:tcPr>
            <w:tcW w:w="24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合客牌HK6608K4</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25</w:t>
            </w:r>
          </w:p>
        </w:tc>
        <w:tc>
          <w:tcPr>
            <w:tcW w:w="24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合客牌HK6608K4</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26</w:t>
            </w:r>
          </w:p>
        </w:tc>
        <w:tc>
          <w:tcPr>
            <w:tcW w:w="24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合客牌HK6608K4</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27</w:t>
            </w:r>
          </w:p>
        </w:tc>
        <w:tc>
          <w:tcPr>
            <w:tcW w:w="24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合客牌HK6608K4</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28</w:t>
            </w:r>
          </w:p>
        </w:tc>
        <w:tc>
          <w:tcPr>
            <w:tcW w:w="24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合客牌HK6608K4</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29</w:t>
            </w:r>
          </w:p>
        </w:tc>
        <w:tc>
          <w:tcPr>
            <w:tcW w:w="247"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合客牌HK6608K4</w:t>
            </w:r>
          </w:p>
        </w:tc>
        <w:tc>
          <w:tcPr>
            <w:tcW w:w="65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7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83</w:t>
            </w:r>
          </w:p>
        </w:tc>
        <w:tc>
          <w:tcPr>
            <w:tcW w:w="41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w:t>
            </w:r>
          </w:p>
        </w:tc>
        <w:tc>
          <w:tcPr>
            <w:tcW w:w="45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14,490.00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247"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合客牌HK6608K4</w:t>
            </w:r>
          </w:p>
        </w:tc>
        <w:tc>
          <w:tcPr>
            <w:tcW w:w="65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76" w:type="pct"/>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83</w:t>
            </w:r>
          </w:p>
        </w:tc>
        <w:tc>
          <w:tcPr>
            <w:tcW w:w="4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14,490.00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00" w:type="pct"/>
            <w:gridSpan w:val="9"/>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Theme="minorEastAsia" w:hAnsiTheme="minorEastAsia" w:eastAsiaTheme="minorEastAsia" w:cstheme="minorEastAsia"/>
                <w:i w:val="0"/>
                <w:iCs w:val="0"/>
                <w:color w:val="auto"/>
                <w:sz w:val="22"/>
                <w:szCs w:val="22"/>
                <w:highlight w:val="none"/>
                <w:u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580800</w:t>
            </w:r>
          </w:p>
        </w:tc>
      </w:tr>
    </w:tbl>
    <w:p>
      <w:pPr>
        <w:pStyle w:val="38"/>
        <w:numPr>
          <w:ilvl w:val="0"/>
          <w:numId w:val="0"/>
        </w:numPr>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标项三：</w:t>
      </w:r>
    </w:p>
    <w:tbl>
      <w:tblPr>
        <w:tblStyle w:val="4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9"/>
        <w:gridCol w:w="500"/>
        <w:gridCol w:w="1803"/>
        <w:gridCol w:w="1338"/>
        <w:gridCol w:w="1325"/>
        <w:gridCol w:w="725"/>
        <w:gridCol w:w="850"/>
        <w:gridCol w:w="913"/>
        <w:gridCol w:w="912"/>
        <w:gridCol w:w="1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序号</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座位</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厂家型号</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所属公司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市场价</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已使用期数</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经济使用期数</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年限法成新率</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综合调整系数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评估值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合客牌HK6608K4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83</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14,490.00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合客牌HK6608K4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83</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14,490.00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少林牌SLG6600C4F</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少林牌SLG6600C4F</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少林牌SLG6600C4F</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少林牌SLG6600C4F</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少林牌SLG6600C4F</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少林牌SLG6600C4F</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少林牌SLG6600C4F</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少林牌SLG6600C4F</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少林牌SLG6600C4F</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少林牌SLG6600C4F</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少林牌SLG6600C4F</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牡丹牌MD6601KH</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32,090.00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牡丹牌MD6601KH</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32,090.00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牡丹牌MD6601KH</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32,090.00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牡丹牌MD6601KH</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32,090.00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牡丹牌MD6601KH</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32,090.00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牡丹牌MD6601KH</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32,090.00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牡丹牌MD6608KH</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牡丹牌MD6608KH</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牡丹牌MD6608KH</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牡丹牌MD6608KH</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24</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牡丹牌MD6608KH</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25</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牡丹牌MD6608KH</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32,090.00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26</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牡丹牌MD6608KH</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32,090.00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27</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牡丹牌MD6608KH</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32,090.00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28</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牡丹牌MD6608KH</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32,090.00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29</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牡丹牌MD6608KH</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32,090.00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悦西牌ZJC6601HF7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悦西牌ZJC6601HF7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32</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悦西牌ZJC6601HF7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33</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悦西牌ZJC6601HF7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悦西牌ZJC6601HF7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35</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悦西牌ZJC6601HF7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22,770.00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36</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悦西牌ZJC6601HF7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37</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悦西牌ZJC6601HF7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昆阳分公司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38</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合客牌HK6608K4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79</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39</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合客牌HK6608K4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79</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18,630.00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合客牌HK6608K4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79</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41</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合客牌HK6608K4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15,530.00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42</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合客牌HK6608K4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15,530.00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43</w:t>
            </w:r>
          </w:p>
        </w:tc>
        <w:tc>
          <w:tcPr>
            <w:tcW w:w="248"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合客牌HK6608K4</w:t>
            </w:r>
          </w:p>
        </w:tc>
        <w:tc>
          <w:tcPr>
            <w:tcW w:w="66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鳌江分公司</w:t>
            </w:r>
          </w:p>
        </w:tc>
        <w:tc>
          <w:tcPr>
            <w:tcW w:w="65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82</w:t>
            </w:r>
          </w:p>
        </w:tc>
        <w:tc>
          <w:tcPr>
            <w:tcW w:w="42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w:t>
            </w:r>
          </w:p>
        </w:tc>
        <w:tc>
          <w:tcPr>
            <w:tcW w:w="45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60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15,530.00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44</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江铃牌JX6606VDFA</w:t>
            </w:r>
          </w:p>
        </w:tc>
        <w:tc>
          <w:tcPr>
            <w:tcW w:w="6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水头分公司</w:t>
            </w:r>
          </w:p>
        </w:tc>
        <w:tc>
          <w:tcPr>
            <w:tcW w:w="6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138,000.00</w:t>
            </w:r>
          </w:p>
        </w:tc>
        <w:tc>
          <w:tcPr>
            <w:tcW w:w="3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4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55%</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22,770.00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99" w:type="pct"/>
            <w:gridSpan w:val="9"/>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Theme="minorEastAsia" w:hAnsiTheme="minorEastAsia" w:eastAsiaTheme="minorEastAsia" w:cstheme="minorEastAsia"/>
                <w:i w:val="0"/>
                <w:iCs w:val="0"/>
                <w:color w:val="auto"/>
                <w:sz w:val="22"/>
                <w:szCs w:val="22"/>
                <w:highlight w:val="none"/>
                <w:u w:val="none"/>
              </w:rPr>
            </w:pP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1234200</w:t>
            </w:r>
          </w:p>
        </w:tc>
      </w:tr>
    </w:tbl>
    <w:p>
      <w:pPr>
        <w:pStyle w:val="38"/>
        <w:numPr>
          <w:ilvl w:val="0"/>
          <w:numId w:val="0"/>
        </w:numPr>
        <w:jc w:val="center"/>
        <w:rPr>
          <w:rFonts w:hint="eastAsia" w:ascii="宋体" w:hAnsi="宋体" w:cs="宋体"/>
          <w:color w:val="auto"/>
          <w:highlight w:val="none"/>
          <w:lang w:val="zh-CN"/>
        </w:rPr>
      </w:pPr>
      <w:r>
        <w:rPr>
          <w:rFonts w:ascii="宋体" w:hAnsi="宋体" w:cs="宋体"/>
          <w:color w:val="auto"/>
          <w:highlight w:val="none"/>
          <w:lang w:val="zh-CN"/>
        </w:rPr>
        <w:br w:type="page"/>
      </w:r>
      <w:r>
        <w:rPr>
          <w:rFonts w:hint="eastAsia" w:ascii="宋体" w:hAnsi="宋体" w:cs="宋体"/>
          <w:color w:val="auto"/>
          <w:highlight w:val="none"/>
          <w:lang w:val="zh-CN"/>
        </w:rPr>
        <w:t>第三部分   供应商须知</w:t>
      </w:r>
    </w:p>
    <w:p>
      <w:pPr>
        <w:pStyle w:val="4"/>
        <w:spacing w:before="0" w:after="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一、说明</w:t>
      </w:r>
    </w:p>
    <w:p>
      <w:pPr>
        <w:adjustRightInd w:val="0"/>
        <w:spacing w:line="460" w:lineRule="exact"/>
        <w:ind w:firstLine="431" w:firstLineChars="196"/>
        <w:rPr>
          <w:rFonts w:hint="eastAsia" w:ascii="宋体" w:hAnsi="宋体" w:cs="宋体"/>
          <w:color w:val="auto"/>
          <w:szCs w:val="22"/>
          <w:highlight w:val="none"/>
        </w:rPr>
      </w:pPr>
      <w:r>
        <w:rPr>
          <w:rFonts w:hint="eastAsia" w:ascii="宋体" w:hAnsi="宋体" w:cs="宋体"/>
          <w:color w:val="auto"/>
          <w:szCs w:val="22"/>
          <w:highlight w:val="none"/>
        </w:rPr>
        <w:t>1、本次采购工作是按照《平阳县国有企业采购管理办法（试行）》及相关法律规章组织和实施。</w:t>
      </w:r>
    </w:p>
    <w:p>
      <w:pPr>
        <w:widowControl/>
        <w:snapToGrid w:val="0"/>
        <w:spacing w:line="460" w:lineRule="exact"/>
        <w:ind w:firstLine="431" w:firstLineChars="196"/>
        <w:jc w:val="left"/>
        <w:rPr>
          <w:rFonts w:hint="eastAsia" w:ascii="宋体" w:hAnsi="宋体" w:cs="宋体"/>
          <w:color w:val="auto"/>
          <w:szCs w:val="22"/>
          <w:highlight w:val="none"/>
        </w:rPr>
      </w:pPr>
      <w:r>
        <w:rPr>
          <w:rFonts w:hint="eastAsia" w:ascii="宋体" w:hAnsi="宋体" w:cs="宋体"/>
          <w:color w:val="auto"/>
          <w:szCs w:val="22"/>
          <w:highlight w:val="none"/>
        </w:rPr>
        <w:t>2、无论投标过程中的作法和结果如何，供应商自行承担投标活动中所发生的全部费用。</w:t>
      </w:r>
    </w:p>
    <w:p>
      <w:pPr>
        <w:autoSpaceDE w:val="0"/>
        <w:autoSpaceDN w:val="0"/>
        <w:adjustRightInd w:val="0"/>
        <w:snapToGrid w:val="0"/>
        <w:spacing w:line="460" w:lineRule="exact"/>
        <w:ind w:firstLine="431" w:firstLineChars="196"/>
        <w:jc w:val="left"/>
        <w:textAlignment w:val="bottom"/>
        <w:rPr>
          <w:rFonts w:hint="eastAsia" w:ascii="宋体" w:hAnsi="宋体" w:cs="宋体"/>
          <w:color w:val="auto"/>
          <w:szCs w:val="22"/>
          <w:highlight w:val="none"/>
        </w:rPr>
      </w:pPr>
      <w:r>
        <w:rPr>
          <w:rFonts w:hint="eastAsia" w:ascii="宋体" w:hAnsi="宋体" w:cs="宋体"/>
          <w:color w:val="auto"/>
          <w:szCs w:val="22"/>
          <w:highlight w:val="none"/>
        </w:rPr>
        <w:t>3、</w:t>
      </w:r>
      <w:r>
        <w:rPr>
          <w:rFonts w:hint="eastAsia" w:ascii="宋体" w:hAnsi="宋体" w:cs="宋体"/>
          <w:b/>
          <w:color w:val="auto"/>
          <w:szCs w:val="22"/>
          <w:highlight w:val="none"/>
          <w:u w:val="single"/>
        </w:rPr>
        <w:t>供应商必须投全部内容，否则按无效投标处理。</w:t>
      </w:r>
    </w:p>
    <w:p>
      <w:pPr>
        <w:autoSpaceDE w:val="0"/>
        <w:autoSpaceDN w:val="0"/>
        <w:adjustRightInd w:val="0"/>
        <w:snapToGrid w:val="0"/>
        <w:spacing w:line="460" w:lineRule="exact"/>
        <w:ind w:firstLine="431" w:firstLineChars="196"/>
        <w:jc w:val="left"/>
        <w:textAlignment w:val="bottom"/>
        <w:rPr>
          <w:rFonts w:hint="eastAsia" w:ascii="宋体" w:hAnsi="宋体" w:cs="宋体"/>
          <w:color w:val="auto"/>
          <w:szCs w:val="22"/>
          <w:highlight w:val="none"/>
        </w:rPr>
      </w:pPr>
      <w:r>
        <w:rPr>
          <w:rFonts w:hint="eastAsia" w:ascii="宋体" w:hAnsi="宋体" w:cs="宋体"/>
          <w:color w:val="auto"/>
          <w:szCs w:val="22"/>
          <w:highlight w:val="none"/>
        </w:rPr>
        <w:t>4、本次采购商务报价文件与技术资信文件分别评审，评标委员会首先评审供应商技术资信部分，技术资信部分无效的供应商不进入商务报价评审。要求供应商技术资信部分的投标文件（含资信与服务）中不得含本项目报价，否则做无效投标处理。</w:t>
      </w:r>
    </w:p>
    <w:p>
      <w:pPr>
        <w:autoSpaceDE w:val="0"/>
        <w:autoSpaceDN w:val="0"/>
        <w:adjustRightInd w:val="0"/>
        <w:snapToGrid w:val="0"/>
        <w:spacing w:line="460" w:lineRule="exact"/>
        <w:ind w:firstLine="420" w:firstLineChars="190"/>
        <w:textAlignment w:val="bottom"/>
        <w:rPr>
          <w:rFonts w:hint="eastAsia" w:ascii="宋体"/>
          <w:b/>
          <w:color w:val="auto"/>
          <w:szCs w:val="22"/>
          <w:highlight w:val="none"/>
        </w:rPr>
      </w:pPr>
      <w:r>
        <w:rPr>
          <w:rFonts w:hint="eastAsia" w:ascii="宋体" w:hAnsi="宋体" w:cs="宋体"/>
          <w:b/>
          <w:color w:val="auto"/>
          <w:szCs w:val="22"/>
          <w:highlight w:val="none"/>
        </w:rPr>
        <w:t>5</w:t>
      </w:r>
      <w:r>
        <w:rPr>
          <w:rFonts w:hint="eastAsia" w:ascii="宋体"/>
          <w:b/>
          <w:color w:val="auto"/>
          <w:szCs w:val="22"/>
          <w:highlight w:val="none"/>
        </w:rPr>
        <w:t>、</w:t>
      </w:r>
      <w:r>
        <w:rPr>
          <w:rFonts w:hint="eastAsia" w:ascii="宋体"/>
          <w:b/>
          <w:color w:val="auto"/>
          <w:szCs w:val="22"/>
          <w:highlight w:val="none"/>
          <w:u w:val="single"/>
        </w:rPr>
        <w:t>本项目采用总价包干方式，项目实施过程中各项单价不予调整。</w:t>
      </w:r>
      <w:r>
        <w:rPr>
          <w:rFonts w:hint="eastAsia" w:ascii="宋体"/>
          <w:b/>
          <w:color w:val="auto"/>
          <w:szCs w:val="22"/>
          <w:highlight w:val="none"/>
        </w:rPr>
        <w:t>供应商须自行现场勘察，以求得准确的报价依据。供应商须自行考虑投标报价的风险。</w:t>
      </w:r>
    </w:p>
    <w:p>
      <w:pPr>
        <w:autoSpaceDE w:val="0"/>
        <w:autoSpaceDN w:val="0"/>
        <w:adjustRightInd w:val="0"/>
        <w:snapToGrid w:val="0"/>
        <w:spacing w:line="460" w:lineRule="exact"/>
        <w:ind w:firstLine="446" w:firstLineChars="203"/>
        <w:textAlignment w:val="bottom"/>
        <w:rPr>
          <w:rFonts w:hint="eastAsia" w:ascii="宋体" w:hAnsi="宋体" w:cs="宋体"/>
          <w:color w:val="auto"/>
          <w:szCs w:val="22"/>
          <w:highlight w:val="none"/>
        </w:rPr>
      </w:pPr>
      <w:r>
        <w:rPr>
          <w:rFonts w:hint="eastAsia" w:ascii="宋体" w:hAnsi="宋体" w:cs="宋体"/>
          <w:color w:val="auto"/>
          <w:szCs w:val="22"/>
          <w:highlight w:val="none"/>
        </w:rPr>
        <w:t>6、知识产权</w:t>
      </w:r>
    </w:p>
    <w:p>
      <w:pPr>
        <w:autoSpaceDE w:val="0"/>
        <w:autoSpaceDN w:val="0"/>
        <w:adjustRightInd w:val="0"/>
        <w:snapToGrid w:val="0"/>
        <w:spacing w:line="460" w:lineRule="exact"/>
        <w:ind w:firstLine="446" w:firstLineChars="203"/>
        <w:textAlignment w:val="bottom"/>
        <w:rPr>
          <w:rFonts w:hint="eastAsia" w:ascii="宋体" w:hAnsi="宋体" w:cs="宋体"/>
          <w:color w:val="auto"/>
          <w:szCs w:val="22"/>
          <w:highlight w:val="none"/>
        </w:rPr>
      </w:pPr>
      <w:r>
        <w:rPr>
          <w:rFonts w:hint="eastAsia" w:ascii="宋体" w:hAnsi="宋体" w:cs="宋体"/>
          <w:color w:val="auto"/>
          <w:szCs w:val="22"/>
          <w:highlight w:val="none"/>
        </w:rPr>
        <w:t>6.1供应商应保证，采购人在中华人民共和国使用货物和服务的任何一部分时，免受第三方提出侵犯其专利权、商标权或其它知识产权的起诉。</w:t>
      </w:r>
    </w:p>
    <w:p>
      <w:pPr>
        <w:autoSpaceDE w:val="0"/>
        <w:autoSpaceDN w:val="0"/>
        <w:adjustRightInd w:val="0"/>
        <w:snapToGrid w:val="0"/>
        <w:spacing w:line="460" w:lineRule="exact"/>
        <w:ind w:firstLine="446" w:firstLineChars="203"/>
        <w:textAlignment w:val="bottom"/>
        <w:rPr>
          <w:rFonts w:hint="eastAsia" w:ascii="宋体" w:hAnsi="宋体" w:cs="宋体"/>
          <w:color w:val="auto"/>
          <w:szCs w:val="22"/>
          <w:highlight w:val="none"/>
        </w:rPr>
      </w:pPr>
      <w:r>
        <w:rPr>
          <w:rFonts w:hint="eastAsia" w:ascii="宋体" w:hAnsi="宋体" w:cs="宋体"/>
          <w:color w:val="auto"/>
          <w:szCs w:val="22"/>
          <w:highlight w:val="none"/>
        </w:rPr>
        <w:t>6.2投标供应商应对采购人在使用该产品时所涉及到的专利权负责，不损害采购人的利益。</w:t>
      </w:r>
    </w:p>
    <w:p>
      <w:pPr>
        <w:autoSpaceDE w:val="0"/>
        <w:autoSpaceDN w:val="0"/>
        <w:adjustRightInd w:val="0"/>
        <w:snapToGrid w:val="0"/>
        <w:spacing w:line="460" w:lineRule="exact"/>
        <w:ind w:firstLine="446" w:firstLineChars="203"/>
        <w:textAlignment w:val="bottom"/>
        <w:rPr>
          <w:rFonts w:hint="eastAsia" w:ascii="宋体" w:hAnsi="宋体" w:cs="宋体"/>
          <w:color w:val="auto"/>
          <w:szCs w:val="22"/>
          <w:highlight w:val="none"/>
        </w:rPr>
      </w:pPr>
      <w:r>
        <w:rPr>
          <w:rFonts w:hint="eastAsia" w:ascii="宋体" w:hAnsi="宋体" w:cs="宋体"/>
          <w:color w:val="auto"/>
          <w:szCs w:val="22"/>
          <w:highlight w:val="none"/>
        </w:rPr>
        <w:t>6.3投标报价应包括所有应支付的对专利权和版权、设计或其他知识产权而需要向其他方支付的版税。</w:t>
      </w:r>
    </w:p>
    <w:p>
      <w:pPr>
        <w:autoSpaceDE w:val="0"/>
        <w:autoSpaceDN w:val="0"/>
        <w:adjustRightInd w:val="0"/>
        <w:snapToGrid w:val="0"/>
        <w:spacing w:line="460" w:lineRule="exact"/>
        <w:ind w:firstLine="446" w:firstLineChars="203"/>
        <w:textAlignment w:val="bottom"/>
        <w:rPr>
          <w:rFonts w:hint="eastAsia" w:ascii="宋体" w:hAnsi="宋体" w:cs="宋体"/>
          <w:color w:val="auto"/>
          <w:szCs w:val="22"/>
          <w:highlight w:val="none"/>
        </w:rPr>
      </w:pPr>
      <w:r>
        <w:rPr>
          <w:rFonts w:hint="eastAsia" w:ascii="宋体" w:hAnsi="宋体" w:cs="宋体"/>
          <w:color w:val="auto"/>
          <w:szCs w:val="22"/>
          <w:highlight w:val="none"/>
        </w:rPr>
        <w:t>6.4投标供应商提供的货物中如使用其他公司的相关专利，应在标书中出示相关授权，如未出示但使用了其他公司的专利，导致供应商中标而引起相关诉讼，由投标供应商承担。</w:t>
      </w:r>
    </w:p>
    <w:p>
      <w:pPr>
        <w:widowControl/>
        <w:snapToGrid w:val="0"/>
        <w:spacing w:line="460" w:lineRule="exact"/>
        <w:ind w:firstLine="418" w:firstLineChars="190"/>
        <w:jc w:val="left"/>
        <w:rPr>
          <w:rFonts w:hint="eastAsia" w:ascii="宋体" w:hAnsi="宋体" w:cs="宋体"/>
          <w:color w:val="auto"/>
          <w:szCs w:val="22"/>
          <w:highlight w:val="none"/>
          <w:lang w:val="zh-CN"/>
        </w:rPr>
      </w:pPr>
      <w:r>
        <w:rPr>
          <w:rFonts w:hint="eastAsia" w:ascii="宋体" w:hAnsi="宋体" w:cs="宋体"/>
          <w:color w:val="auto"/>
          <w:szCs w:val="22"/>
          <w:highlight w:val="none"/>
        </w:rPr>
        <w:t>7</w:t>
      </w:r>
      <w:r>
        <w:rPr>
          <w:rFonts w:hint="eastAsia" w:ascii="宋体" w:hAnsi="宋体" w:cs="宋体"/>
          <w:color w:val="auto"/>
          <w:szCs w:val="22"/>
          <w:highlight w:val="none"/>
          <w:lang w:val="zh-CN"/>
        </w:rPr>
        <w:t>、本项目如涉及国家规定强制认证的，供应商所投标设备均应符合工业品生产许可证，3C认证，环保设备认证等强制认证规定。且中标供应商须在采购人对本项目验收时提供相关证书证明资料，否则做验收不能通过处理，并对中标供应商处以合同总金额10%的违约金罚款。</w:t>
      </w:r>
    </w:p>
    <w:p>
      <w:pPr>
        <w:pStyle w:val="7"/>
        <w:adjustRightInd w:val="0"/>
        <w:snapToGrid w:val="0"/>
        <w:spacing w:line="460" w:lineRule="exact"/>
        <w:ind w:firstLine="442"/>
        <w:rPr>
          <w:rFonts w:hint="eastAsia" w:ascii="宋体" w:hAnsi="宋体" w:cs="宋体"/>
          <w:color w:val="auto"/>
          <w:sz w:val="22"/>
          <w:szCs w:val="22"/>
          <w:highlight w:val="none"/>
        </w:rPr>
      </w:pPr>
      <w:r>
        <w:rPr>
          <w:rFonts w:hint="eastAsia" w:ascii="宋体" w:hAnsi="宋体" w:cs="宋体"/>
          <w:b/>
          <w:color w:val="auto"/>
          <w:sz w:val="22"/>
          <w:szCs w:val="22"/>
          <w:highlight w:val="none"/>
        </w:rPr>
        <w:t>8、本项目</w:t>
      </w:r>
      <w:r>
        <w:rPr>
          <w:rFonts w:hint="eastAsia" w:ascii="宋体" w:hAnsi="宋体" w:cs="宋体"/>
          <w:b/>
          <w:color w:val="auto"/>
          <w:sz w:val="22"/>
          <w:szCs w:val="22"/>
          <w:highlight w:val="none"/>
          <w:lang w:val="en-US" w:eastAsia="zh-CN"/>
        </w:rPr>
        <w:t>标项一</w:t>
      </w:r>
      <w:r>
        <w:rPr>
          <w:rFonts w:hint="eastAsia" w:ascii="宋体" w:hAnsi="宋体" w:cs="宋体"/>
          <w:b/>
          <w:color w:val="auto"/>
          <w:sz w:val="22"/>
          <w:szCs w:val="22"/>
          <w:highlight w:val="none"/>
        </w:rPr>
        <w:t>采购预算（最高限价）为</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cs="宋体"/>
          <w:b/>
          <w:color w:val="auto"/>
          <w:sz w:val="22"/>
          <w:szCs w:val="22"/>
          <w:highlight w:val="none"/>
          <w:u w:val="single"/>
          <w:lang w:val="en-US" w:eastAsia="zh-CN"/>
        </w:rPr>
        <w:t>400</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cs="宋体"/>
          <w:b/>
          <w:color w:val="auto"/>
          <w:sz w:val="22"/>
          <w:szCs w:val="22"/>
          <w:highlight w:val="none"/>
        </w:rPr>
        <w:t>万元人民币</w:t>
      </w:r>
      <w:r>
        <w:rPr>
          <w:rFonts w:hint="eastAsia" w:ascii="宋体" w:hAnsi="宋体" w:cs="宋体"/>
          <w:b/>
          <w:color w:val="auto"/>
          <w:sz w:val="22"/>
          <w:szCs w:val="22"/>
          <w:highlight w:val="none"/>
          <w:lang w:eastAsia="zh-CN"/>
        </w:rPr>
        <w:t>，</w:t>
      </w:r>
      <w:r>
        <w:rPr>
          <w:rFonts w:hint="eastAsia" w:ascii="宋体" w:hAnsi="宋体" w:cs="宋体"/>
          <w:b/>
          <w:color w:val="auto"/>
          <w:sz w:val="22"/>
          <w:szCs w:val="22"/>
          <w:highlight w:val="none"/>
          <w:lang w:val="en-US" w:eastAsia="zh-CN"/>
        </w:rPr>
        <w:t>标项二</w:t>
      </w:r>
      <w:r>
        <w:rPr>
          <w:rFonts w:hint="eastAsia" w:ascii="宋体" w:hAnsi="宋体" w:cs="宋体"/>
          <w:b/>
          <w:color w:val="auto"/>
          <w:sz w:val="22"/>
          <w:szCs w:val="22"/>
          <w:highlight w:val="none"/>
        </w:rPr>
        <w:t>采购预算（最高限价）为</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cs="宋体"/>
          <w:b/>
          <w:color w:val="auto"/>
          <w:sz w:val="22"/>
          <w:szCs w:val="22"/>
          <w:highlight w:val="none"/>
          <w:u w:val="single"/>
          <w:lang w:val="en-US" w:eastAsia="zh-CN"/>
        </w:rPr>
        <w:t>1500</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cs="宋体"/>
          <w:b/>
          <w:color w:val="auto"/>
          <w:sz w:val="22"/>
          <w:szCs w:val="22"/>
          <w:highlight w:val="none"/>
        </w:rPr>
        <w:t>万元人民币</w:t>
      </w:r>
      <w:r>
        <w:rPr>
          <w:rFonts w:hint="eastAsia" w:ascii="宋体" w:hAnsi="宋体" w:cs="宋体"/>
          <w:b/>
          <w:color w:val="auto"/>
          <w:sz w:val="22"/>
          <w:szCs w:val="22"/>
          <w:highlight w:val="none"/>
          <w:lang w:eastAsia="zh-CN"/>
        </w:rPr>
        <w:t>，</w:t>
      </w:r>
      <w:r>
        <w:rPr>
          <w:rFonts w:hint="eastAsia" w:ascii="宋体" w:hAnsi="宋体" w:cs="宋体"/>
          <w:b/>
          <w:color w:val="auto"/>
          <w:sz w:val="22"/>
          <w:szCs w:val="22"/>
          <w:highlight w:val="none"/>
          <w:lang w:val="en-US" w:eastAsia="zh-CN"/>
        </w:rPr>
        <w:t>标项三</w:t>
      </w:r>
      <w:r>
        <w:rPr>
          <w:rFonts w:hint="eastAsia" w:ascii="宋体" w:hAnsi="宋体" w:cs="宋体"/>
          <w:b/>
          <w:color w:val="auto"/>
          <w:sz w:val="22"/>
          <w:szCs w:val="22"/>
          <w:highlight w:val="none"/>
        </w:rPr>
        <w:t>采购预算（最高限价）为</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cs="宋体"/>
          <w:b/>
          <w:color w:val="auto"/>
          <w:sz w:val="22"/>
          <w:szCs w:val="22"/>
          <w:highlight w:val="none"/>
          <w:u w:val="single"/>
          <w:lang w:val="en-US" w:eastAsia="zh-CN"/>
        </w:rPr>
        <w:t>2200</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cs="宋体"/>
          <w:b/>
          <w:color w:val="auto"/>
          <w:sz w:val="22"/>
          <w:szCs w:val="22"/>
          <w:highlight w:val="none"/>
        </w:rPr>
        <w:t>万元人民币；供应商投标报价超出该采购预算，该供应商按无效投标处理。</w:t>
      </w:r>
      <w:r>
        <w:rPr>
          <w:rFonts w:hint="eastAsia" w:ascii="宋体" w:hAnsi="宋体" w:cs="宋体"/>
          <w:color w:val="auto"/>
          <w:sz w:val="22"/>
          <w:szCs w:val="22"/>
          <w:highlight w:val="none"/>
        </w:rPr>
        <w:t>▲</w:t>
      </w:r>
    </w:p>
    <w:p>
      <w:pPr>
        <w:widowControl/>
        <w:snapToGrid w:val="0"/>
        <w:spacing w:line="460" w:lineRule="exact"/>
        <w:ind w:firstLine="420" w:firstLineChars="190"/>
        <w:jc w:val="left"/>
        <w:rPr>
          <w:rFonts w:hint="eastAsia" w:ascii="宋体" w:hAnsi="宋体" w:cs="宋体"/>
          <w:b/>
          <w:color w:val="auto"/>
          <w:szCs w:val="22"/>
          <w:highlight w:val="none"/>
          <w:u w:val="single"/>
        </w:rPr>
      </w:pPr>
      <w:r>
        <w:rPr>
          <w:rFonts w:hint="eastAsia" w:ascii="宋体" w:hAnsi="宋体" w:cs="宋体"/>
          <w:b/>
          <w:color w:val="auto"/>
          <w:szCs w:val="22"/>
          <w:highlight w:val="none"/>
          <w:u w:val="single"/>
        </w:rPr>
        <w:t>9、供应商企业不是独立法人的，按浙财采监[2013]24号文件执行。</w:t>
      </w:r>
    </w:p>
    <w:p>
      <w:pPr>
        <w:pStyle w:val="7"/>
        <w:adjustRightInd w:val="0"/>
        <w:snapToGrid w:val="0"/>
        <w:spacing w:line="460" w:lineRule="exact"/>
        <w:ind w:firstLine="442"/>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rPr>
        <w:t>10、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widowControl/>
        <w:snapToGrid w:val="0"/>
        <w:spacing w:line="460" w:lineRule="exact"/>
        <w:ind w:firstLine="420" w:firstLineChars="190"/>
        <w:jc w:val="left"/>
        <w:rPr>
          <w:rFonts w:hint="eastAsia" w:ascii="宋体" w:hAnsi="宋体" w:cs="宋体"/>
          <w:b/>
          <w:color w:val="auto"/>
          <w:szCs w:val="22"/>
          <w:highlight w:val="none"/>
          <w:lang w:val="zh-CN"/>
        </w:rPr>
      </w:pPr>
      <w:r>
        <w:rPr>
          <w:rFonts w:hint="eastAsia" w:ascii="宋体" w:hAnsi="宋体" w:cs="宋体"/>
          <w:b/>
          <w:color w:val="auto"/>
          <w:szCs w:val="22"/>
          <w:highlight w:val="none"/>
          <w:lang w:val="zh-CN"/>
        </w:rPr>
        <w:t>11、采用最低评标价法的采购项目，提供相同品牌产品的不同投标供应商参加同一合同项下投标的，以其中通过资格审查、符合性审查且报价最低的参加评标；报价相同的，采取随机抽取方式确定，其他投标无效。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非单一产品采购项目，单项产品投标价格比重占总投标价50%及以上的认定为核心产品（有效投标供应商中一家供应商该项投标价格占总投标价50%级以上即认定），多家投标供应商提供的核心产品品牌相同的，按前款规定处理。</w:t>
      </w:r>
    </w:p>
    <w:p>
      <w:pPr>
        <w:widowControl/>
        <w:snapToGrid w:val="0"/>
        <w:spacing w:line="460" w:lineRule="exact"/>
        <w:ind w:firstLine="420" w:firstLineChars="190"/>
        <w:jc w:val="left"/>
        <w:rPr>
          <w:rFonts w:hint="eastAsia" w:ascii="宋体" w:hAnsi="宋体" w:cs="宋体"/>
          <w:b/>
          <w:color w:val="auto"/>
          <w:szCs w:val="22"/>
          <w:highlight w:val="none"/>
          <w:u w:val="single"/>
        </w:rPr>
      </w:pPr>
      <w:r>
        <w:rPr>
          <w:rFonts w:hint="eastAsia" w:ascii="宋体" w:hAnsi="宋体" w:cs="宋体"/>
          <w:b/>
          <w:color w:val="auto"/>
          <w:szCs w:val="22"/>
          <w:highlight w:val="none"/>
        </w:rPr>
        <w:t>12、本次招标采用资格后审，供应商只需在网上下载招标文件，不接受现场报名。为保证招标工作顺利进行，供应商须确保投标保证金</w:t>
      </w:r>
      <w:r>
        <w:rPr>
          <w:rFonts w:hint="eastAsia" w:ascii="宋体" w:hAnsi="宋体" w:cs="宋体"/>
          <w:b/>
          <w:color w:val="auto"/>
          <w:kern w:val="2"/>
          <w:sz w:val="22"/>
          <w:szCs w:val="22"/>
          <w:highlight w:val="none"/>
          <w:u w:val="single"/>
          <w:lang w:val="en-US" w:eastAsia="zh-CN" w:bidi="ar-SA"/>
        </w:rPr>
        <w:t>2021年  月  日  上午09：30</w:t>
      </w:r>
      <w:r>
        <w:rPr>
          <w:rFonts w:hint="eastAsia" w:ascii="宋体" w:hAnsi="宋体" w:cs="宋体"/>
          <w:b/>
          <w:color w:val="auto"/>
          <w:szCs w:val="22"/>
          <w:highlight w:val="none"/>
        </w:rPr>
        <w:t>到平阳县公共资源交易中心账户</w:t>
      </w:r>
      <w:r>
        <w:rPr>
          <w:rFonts w:hint="eastAsia" w:ascii="宋体" w:hAnsi="宋体" w:cs="宋体"/>
          <w:b/>
          <w:color w:val="auto"/>
          <w:kern w:val="0"/>
          <w:szCs w:val="22"/>
          <w:highlight w:val="none"/>
        </w:rPr>
        <w:t>；</w:t>
      </w:r>
      <w:r>
        <w:rPr>
          <w:rFonts w:hint="eastAsia" w:ascii="宋体" w:hAnsi="宋体" w:cs="宋体"/>
          <w:b/>
          <w:color w:val="auto"/>
          <w:szCs w:val="22"/>
          <w:highlight w:val="none"/>
        </w:rPr>
        <w:t>投标保证金未按规定时间到账的，其投标将被拒绝。</w:t>
      </w:r>
    </w:p>
    <w:p>
      <w:pPr>
        <w:pStyle w:val="7"/>
        <w:adjustRightInd w:val="0"/>
        <w:snapToGrid w:val="0"/>
        <w:spacing w:line="460" w:lineRule="exact"/>
        <w:ind w:firstLine="433" w:firstLineChars="196"/>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13、本次招标文件中，带有“▲”标注的有关技术和商务条款要求供应商做实质性响应，供应商要特别加以注意，必须对此回答并完全满足这些要求。否则若有一项“▲”的指标未响应或不满足，将按投标无效处理</w:t>
      </w:r>
      <w:r>
        <w:rPr>
          <w:rFonts w:hint="eastAsia" w:ascii="宋体" w:cs="宋体"/>
          <w:b/>
          <w:color w:val="auto"/>
          <w:sz w:val="22"/>
          <w:szCs w:val="22"/>
          <w:highlight w:val="none"/>
          <w:u w:val="single"/>
        </w:rPr>
        <w:t>。带有“★”标注的有关技术和商务条款要求为重要指标，不符合的扣分处理。</w:t>
      </w:r>
    </w:p>
    <w:p>
      <w:pPr>
        <w:widowControl/>
        <w:snapToGrid w:val="0"/>
        <w:spacing w:line="460" w:lineRule="exact"/>
        <w:ind w:firstLine="420" w:firstLineChars="190"/>
        <w:jc w:val="left"/>
        <w:rPr>
          <w:rFonts w:hint="eastAsia" w:ascii="宋体"/>
          <w:b/>
          <w:color w:val="auto"/>
          <w:highlight w:val="none"/>
          <w:lang w:val="zh-CN"/>
        </w:rPr>
      </w:pPr>
      <w:r>
        <w:rPr>
          <w:rFonts w:hint="eastAsia" w:ascii="宋体" w:hAnsi="宋体" w:cs="宋体"/>
          <w:b/>
          <w:color w:val="auto"/>
          <w:szCs w:val="22"/>
          <w:highlight w:val="none"/>
          <w:lang w:val="zh-CN"/>
        </w:rPr>
        <w:t>1</w:t>
      </w:r>
      <w:r>
        <w:rPr>
          <w:rFonts w:hint="eastAsia" w:ascii="宋体" w:hAnsi="宋体" w:cs="宋体"/>
          <w:b/>
          <w:color w:val="auto"/>
          <w:szCs w:val="22"/>
          <w:highlight w:val="none"/>
        </w:rPr>
        <w:t>4</w:t>
      </w:r>
      <w:r>
        <w:rPr>
          <w:rFonts w:hint="eastAsia" w:ascii="宋体" w:hAnsi="宋体" w:cs="宋体"/>
          <w:b/>
          <w:color w:val="auto"/>
          <w:szCs w:val="22"/>
          <w:highlight w:val="none"/>
          <w:lang w:val="zh-CN"/>
        </w:rPr>
        <w:t>、</w:t>
      </w:r>
      <w:r>
        <w:rPr>
          <w:rFonts w:hint="eastAsia" w:ascii="宋体" w:hAnsi="宋体" w:cs="宋体"/>
          <w:b/>
          <w:color w:val="auto"/>
          <w:szCs w:val="22"/>
          <w:highlight w:val="none"/>
        </w:rPr>
        <w:t>供应商</w:t>
      </w:r>
      <w:r>
        <w:rPr>
          <w:rFonts w:ascii="宋体"/>
          <w:b/>
          <w:color w:val="auto"/>
          <w:highlight w:val="none"/>
          <w:lang w:val="zh-CN"/>
        </w:rPr>
        <w:t>信用信息查询渠道及截止时点、信用信息查询记录和证据留存的具体方式、信用信息的使用规则等</w:t>
      </w:r>
      <w:r>
        <w:rPr>
          <w:rFonts w:hint="eastAsia" w:ascii="宋体"/>
          <w:b/>
          <w:color w:val="auto"/>
          <w:highlight w:val="none"/>
          <w:lang w:val="zh-CN"/>
        </w:rPr>
        <w:t>：</w:t>
      </w:r>
    </w:p>
    <w:p>
      <w:pPr>
        <w:widowControl/>
        <w:snapToGrid w:val="0"/>
        <w:spacing w:line="400" w:lineRule="exact"/>
        <w:ind w:firstLine="418" w:firstLineChars="190"/>
        <w:jc w:val="left"/>
        <w:rPr>
          <w:rFonts w:ascii="宋体"/>
          <w:color w:val="auto"/>
          <w:highlight w:val="none"/>
          <w:lang w:val="zh-CN"/>
        </w:rPr>
      </w:pPr>
      <w:r>
        <w:rPr>
          <w:rFonts w:ascii="宋体"/>
          <w:color w:val="auto"/>
          <w:highlight w:val="none"/>
          <w:lang w:val="zh-CN"/>
        </w:rPr>
        <w:t>1</w:t>
      </w:r>
      <w:r>
        <w:rPr>
          <w:rFonts w:hint="eastAsia" w:ascii="宋体"/>
          <w:color w:val="auto"/>
          <w:highlight w:val="none"/>
          <w:lang w:val="zh-CN"/>
        </w:rPr>
        <w:t>）投标供应商</w:t>
      </w:r>
      <w:r>
        <w:rPr>
          <w:rFonts w:ascii="宋体"/>
          <w:color w:val="auto"/>
          <w:highlight w:val="none"/>
          <w:lang w:val="zh-CN"/>
        </w:rPr>
        <w:t>信用信息查询的查询渠道</w:t>
      </w:r>
      <w:r>
        <w:rPr>
          <w:rFonts w:hint="eastAsia" w:ascii="宋体"/>
          <w:color w:val="auto"/>
          <w:highlight w:val="none"/>
          <w:lang w:val="zh-CN"/>
        </w:rPr>
        <w:t>：</w:t>
      </w:r>
      <w:r>
        <w:rPr>
          <w:rFonts w:ascii="宋体"/>
          <w:color w:val="auto"/>
          <w:highlight w:val="none"/>
          <w:lang w:val="zh-CN"/>
        </w:rPr>
        <w:t>“信用中国”(</w:t>
      </w:r>
      <w:r>
        <w:rPr>
          <w:rFonts w:ascii="宋体"/>
          <w:color w:val="auto"/>
          <w:highlight w:val="none"/>
          <w:lang w:val="zh-CN"/>
        </w:rPr>
        <w:fldChar w:fldCharType="begin"/>
      </w:r>
      <w:r>
        <w:rPr>
          <w:rFonts w:ascii="宋体"/>
          <w:color w:val="auto"/>
          <w:highlight w:val="none"/>
          <w:lang w:val="zh-CN"/>
        </w:rPr>
        <w:instrText xml:space="preserve"> HYPERLINK "http://www.creditchina.gov.cn" </w:instrText>
      </w:r>
      <w:r>
        <w:rPr>
          <w:rFonts w:ascii="宋体"/>
          <w:color w:val="auto"/>
          <w:highlight w:val="none"/>
          <w:lang w:val="zh-CN"/>
        </w:rPr>
        <w:fldChar w:fldCharType="separate"/>
      </w:r>
      <w:r>
        <w:rPr>
          <w:rFonts w:ascii="宋体"/>
          <w:color w:val="auto"/>
          <w:highlight w:val="none"/>
          <w:lang w:val="zh-CN"/>
        </w:rPr>
        <w:t>www.creditchina.gov.cn</w:t>
      </w:r>
      <w:r>
        <w:rPr>
          <w:rFonts w:ascii="宋体"/>
          <w:color w:val="auto"/>
          <w:highlight w:val="none"/>
          <w:lang w:val="zh-CN"/>
        </w:rPr>
        <w:fldChar w:fldCharType="end"/>
      </w:r>
      <w:r>
        <w:rPr>
          <w:rFonts w:ascii="宋体"/>
          <w:color w:val="auto"/>
          <w:highlight w:val="none"/>
          <w:lang w:val="zh-CN"/>
        </w:rPr>
        <w:t>)</w:t>
      </w:r>
      <w:r>
        <w:rPr>
          <w:rFonts w:hint="eastAsia" w:ascii="宋体"/>
          <w:color w:val="auto"/>
          <w:highlight w:val="none"/>
          <w:lang w:val="zh-CN"/>
        </w:rPr>
        <w:t>；“中国政府采购网”（</w:t>
      </w:r>
      <w:r>
        <w:rPr>
          <w:rFonts w:ascii="宋体"/>
          <w:color w:val="auto"/>
          <w:highlight w:val="none"/>
          <w:lang w:val="zh-CN"/>
        </w:rPr>
        <w:t>http://www.ccgp.gov.cn/</w:t>
      </w:r>
      <w:r>
        <w:rPr>
          <w:rFonts w:hint="eastAsia" w:ascii="宋体"/>
          <w:color w:val="auto"/>
          <w:highlight w:val="none"/>
          <w:lang w:val="zh-CN"/>
        </w:rPr>
        <w:t>）；</w:t>
      </w:r>
    </w:p>
    <w:p>
      <w:pPr>
        <w:widowControl/>
        <w:snapToGrid w:val="0"/>
        <w:spacing w:line="400" w:lineRule="exact"/>
        <w:ind w:firstLine="418" w:firstLineChars="190"/>
        <w:jc w:val="left"/>
        <w:rPr>
          <w:rFonts w:ascii="宋体"/>
          <w:color w:val="auto"/>
          <w:highlight w:val="none"/>
          <w:lang w:val="zh-CN"/>
        </w:rPr>
      </w:pPr>
      <w:r>
        <w:rPr>
          <w:rFonts w:hint="eastAsia" w:ascii="宋体"/>
          <w:color w:val="auto"/>
          <w:highlight w:val="none"/>
          <w:lang w:val="zh-CN"/>
        </w:rPr>
        <w:t>2）投标供应商信用信息查询</w:t>
      </w:r>
      <w:r>
        <w:rPr>
          <w:rFonts w:ascii="宋体"/>
          <w:color w:val="auto"/>
          <w:highlight w:val="none"/>
          <w:lang w:val="zh-CN"/>
        </w:rPr>
        <w:t>截止时点</w:t>
      </w:r>
      <w:r>
        <w:rPr>
          <w:rFonts w:hint="eastAsia" w:ascii="宋体"/>
          <w:color w:val="auto"/>
          <w:highlight w:val="none"/>
          <w:lang w:val="zh-CN"/>
        </w:rPr>
        <w:t>：本项目投标截止时间。</w:t>
      </w:r>
    </w:p>
    <w:p>
      <w:pPr>
        <w:widowControl/>
        <w:snapToGrid w:val="0"/>
        <w:spacing w:line="400" w:lineRule="exact"/>
        <w:ind w:firstLine="418" w:firstLineChars="190"/>
        <w:jc w:val="left"/>
        <w:rPr>
          <w:rFonts w:ascii="宋体"/>
          <w:color w:val="auto"/>
          <w:highlight w:val="none"/>
          <w:lang w:val="zh-CN"/>
        </w:rPr>
      </w:pPr>
      <w:r>
        <w:rPr>
          <w:rFonts w:hint="eastAsia" w:ascii="宋体"/>
          <w:color w:val="auto"/>
          <w:highlight w:val="none"/>
          <w:lang w:val="zh-CN"/>
        </w:rPr>
        <w:t>3）投标供应商</w:t>
      </w:r>
      <w:r>
        <w:rPr>
          <w:rFonts w:ascii="宋体"/>
          <w:color w:val="auto"/>
          <w:highlight w:val="none"/>
          <w:lang w:val="zh-CN"/>
        </w:rPr>
        <w:t>信用信息查询记录和证据留存的具体方式</w:t>
      </w:r>
      <w:r>
        <w:rPr>
          <w:rFonts w:hint="eastAsia" w:ascii="宋体"/>
          <w:color w:val="auto"/>
          <w:highlight w:val="none"/>
          <w:lang w:val="zh-CN"/>
        </w:rPr>
        <w:t>：网页截图打印；</w:t>
      </w:r>
    </w:p>
    <w:p>
      <w:pPr>
        <w:autoSpaceDE w:val="0"/>
        <w:autoSpaceDN w:val="0"/>
        <w:adjustRightInd w:val="0"/>
        <w:snapToGrid w:val="0"/>
        <w:spacing w:line="460" w:lineRule="exact"/>
        <w:ind w:firstLine="431" w:firstLineChars="196"/>
        <w:textAlignment w:val="bottom"/>
        <w:rPr>
          <w:rFonts w:hint="eastAsia" w:ascii="宋体" w:hAnsi="宋体"/>
          <w:color w:val="auto"/>
          <w:szCs w:val="22"/>
          <w:highlight w:val="none"/>
        </w:rPr>
      </w:pPr>
      <w:r>
        <w:rPr>
          <w:rFonts w:hint="eastAsia" w:ascii="宋体"/>
          <w:color w:val="auto"/>
          <w:highlight w:val="none"/>
          <w:lang w:val="zh-CN"/>
        </w:rPr>
        <w:t>4）</w:t>
      </w:r>
      <w:r>
        <w:rPr>
          <w:rFonts w:ascii="宋体"/>
          <w:color w:val="auto"/>
          <w:highlight w:val="none"/>
          <w:lang w:val="zh-CN"/>
        </w:rPr>
        <w:t>信用信息的使用规则</w:t>
      </w:r>
      <w:r>
        <w:rPr>
          <w:rFonts w:hint="eastAsia" w:ascii="宋体"/>
          <w:color w:val="auto"/>
          <w:highlight w:val="none"/>
          <w:lang w:val="zh-CN"/>
        </w:rPr>
        <w:t>：</w:t>
      </w:r>
      <w:r>
        <w:rPr>
          <w:rFonts w:hint="eastAsia"/>
          <w:bCs/>
          <w:color w:val="auto"/>
          <w:szCs w:val="22"/>
          <w:highlight w:val="none"/>
        </w:rPr>
        <w:t>截止评标当日，经查询“信用中国”“中国政府采购网”存在列入失信被执行人、重大税收违法案件当事人名单、政府采购严重违法失信行为记录名单及其他不符合《平阳县国有企业采购管理办法（试行）》第十二条规定条件的供应商，其投标做无效投标处理。</w:t>
      </w:r>
    </w:p>
    <w:p>
      <w:pPr>
        <w:widowControl/>
        <w:snapToGrid w:val="0"/>
        <w:spacing w:line="460" w:lineRule="exact"/>
        <w:ind w:firstLine="420" w:firstLineChars="190"/>
        <w:jc w:val="left"/>
        <w:rPr>
          <w:rFonts w:hint="eastAsia" w:ascii="宋体" w:hAnsi="宋体" w:cs="宋体"/>
          <w:b/>
          <w:color w:val="auto"/>
          <w:szCs w:val="22"/>
          <w:highlight w:val="none"/>
          <w:u w:val="single"/>
        </w:rPr>
      </w:pPr>
      <w:r>
        <w:rPr>
          <w:rFonts w:hint="eastAsia" w:ascii="宋体" w:hAnsi="宋体" w:cs="宋体"/>
          <w:b/>
          <w:color w:val="auto"/>
          <w:szCs w:val="22"/>
          <w:highlight w:val="none"/>
          <w:u w:val="single"/>
        </w:rPr>
        <w:t>15、为保证供应商顺利投标，供应商须在投标截止前自行登录温州市公共资源交易网平阳县分网（http:// www.pyztb.com /）或</w:t>
      </w:r>
      <w:r>
        <w:rPr>
          <w:rFonts w:hint="eastAsia" w:ascii="宋体" w:hAnsi="宋体" w:cs="宋体"/>
          <w:b/>
          <w:color w:val="auto"/>
          <w:kern w:val="0"/>
          <w:szCs w:val="22"/>
          <w:highlight w:val="none"/>
          <w:u w:val="single"/>
        </w:rPr>
        <w:t>浙江政府采购网http://www.zjzfcg.gov.cn</w:t>
      </w:r>
      <w:r>
        <w:rPr>
          <w:rFonts w:hint="eastAsia" w:ascii="宋体" w:hAnsi="宋体" w:cs="宋体"/>
          <w:b/>
          <w:color w:val="auto"/>
          <w:szCs w:val="22"/>
          <w:highlight w:val="none"/>
          <w:u w:val="single"/>
        </w:rPr>
        <w:t>，查看是否有补充更正公告文件。如供应商未按补充更正公告文件进行投标的，责任自负。▲</w:t>
      </w:r>
    </w:p>
    <w:p>
      <w:pPr>
        <w:pStyle w:val="21"/>
        <w:spacing w:before="120" w:after="120"/>
        <w:ind w:left="448" w:hanging="448"/>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16、投标文件递交：</w:t>
      </w:r>
    </w:p>
    <w:p>
      <w:pPr>
        <w:widowControl/>
        <w:snapToGrid w:val="0"/>
        <w:spacing w:line="460" w:lineRule="exact"/>
        <w:ind w:firstLine="420" w:firstLineChars="190"/>
        <w:jc w:val="left"/>
        <w:rPr>
          <w:rFonts w:hint="eastAsia" w:ascii="宋体" w:hAnsi="宋体" w:cs="宋体"/>
          <w:b/>
          <w:color w:val="auto"/>
          <w:szCs w:val="22"/>
          <w:highlight w:val="none"/>
        </w:rPr>
      </w:pPr>
      <w:r>
        <w:rPr>
          <w:rFonts w:hint="eastAsia" w:ascii="宋体" w:hAnsi="宋体" w:cs="宋体"/>
          <w:b/>
          <w:color w:val="auto"/>
          <w:szCs w:val="22"/>
          <w:highlight w:val="none"/>
        </w:rPr>
        <w:t>（一）邮寄方式：供应商可以采用邮寄的方式递交投标文件，但须备注当面签收确认，否则由此产生的投标文件遗失以及投标文件破损而导致投标无效的风险由供应商自行承担。</w:t>
      </w:r>
    </w:p>
    <w:p>
      <w:pPr>
        <w:widowControl/>
        <w:snapToGrid w:val="0"/>
        <w:spacing w:line="460" w:lineRule="exact"/>
        <w:ind w:firstLine="420" w:firstLineChars="190"/>
        <w:jc w:val="left"/>
        <w:rPr>
          <w:rFonts w:hint="eastAsia" w:ascii="宋体" w:hAnsi="宋体" w:cs="宋体"/>
          <w:b/>
          <w:color w:val="auto"/>
          <w:szCs w:val="22"/>
          <w:highlight w:val="none"/>
        </w:rPr>
      </w:pPr>
      <w:r>
        <w:rPr>
          <w:rFonts w:hint="eastAsia" w:ascii="宋体" w:hAnsi="宋体" w:cs="宋体"/>
          <w:b/>
          <w:color w:val="auto"/>
          <w:szCs w:val="22"/>
          <w:highlight w:val="none"/>
        </w:rPr>
        <w:t>邮寄接受时间：疫情期间考虑人员调配问题，邮寄接受时间仅限于202</w:t>
      </w:r>
      <w:r>
        <w:rPr>
          <w:rFonts w:hint="eastAsia" w:ascii="宋体" w:hAnsi="宋体" w:cs="宋体"/>
          <w:b/>
          <w:color w:val="auto"/>
          <w:szCs w:val="22"/>
          <w:highlight w:val="none"/>
          <w:lang w:val="en-US" w:eastAsia="zh-CN"/>
        </w:rPr>
        <w:t>1</w:t>
      </w:r>
      <w:r>
        <w:rPr>
          <w:rFonts w:hint="eastAsia" w:ascii="宋体" w:hAnsi="宋体" w:cs="宋体"/>
          <w:b/>
          <w:color w:val="auto"/>
          <w:szCs w:val="22"/>
          <w:highlight w:val="none"/>
        </w:rPr>
        <w:t>年</w:t>
      </w:r>
      <w:r>
        <w:rPr>
          <w:rFonts w:hint="eastAsia" w:ascii="宋体" w:hAnsi="宋体" w:cs="宋体"/>
          <w:b/>
          <w:color w:val="auto"/>
          <w:szCs w:val="22"/>
          <w:highlight w:val="none"/>
          <w:lang w:val="en-US" w:eastAsia="zh-CN"/>
        </w:rPr>
        <w:t xml:space="preserve">  </w:t>
      </w:r>
      <w:r>
        <w:rPr>
          <w:rFonts w:hint="eastAsia" w:ascii="宋体" w:hAnsi="宋体" w:cs="宋体"/>
          <w:b/>
          <w:color w:val="auto"/>
          <w:szCs w:val="22"/>
          <w:highlight w:val="none"/>
        </w:rPr>
        <w:t>月</w:t>
      </w:r>
      <w:r>
        <w:rPr>
          <w:rFonts w:hint="eastAsia" w:ascii="宋体" w:hAnsi="宋体" w:cs="宋体"/>
          <w:b/>
          <w:color w:val="auto"/>
          <w:szCs w:val="22"/>
          <w:highlight w:val="none"/>
          <w:lang w:val="en-US" w:eastAsia="zh-CN"/>
        </w:rPr>
        <w:t xml:space="preserve">  </w:t>
      </w:r>
      <w:r>
        <w:rPr>
          <w:rFonts w:hint="eastAsia" w:ascii="宋体" w:hAnsi="宋体" w:cs="宋体"/>
          <w:b/>
          <w:color w:val="auto"/>
          <w:szCs w:val="22"/>
          <w:highlight w:val="none"/>
        </w:rPr>
        <w:t>日上午10:30分-下午16:30分，202</w:t>
      </w:r>
      <w:r>
        <w:rPr>
          <w:rFonts w:hint="eastAsia" w:ascii="宋体" w:hAnsi="宋体" w:cs="宋体"/>
          <w:b/>
          <w:color w:val="auto"/>
          <w:szCs w:val="22"/>
          <w:highlight w:val="none"/>
          <w:lang w:val="en-US" w:eastAsia="zh-CN"/>
        </w:rPr>
        <w:t>1</w:t>
      </w:r>
      <w:r>
        <w:rPr>
          <w:rFonts w:hint="eastAsia" w:ascii="宋体" w:hAnsi="宋体" w:cs="宋体"/>
          <w:b/>
          <w:color w:val="auto"/>
          <w:szCs w:val="22"/>
          <w:highlight w:val="none"/>
        </w:rPr>
        <w:t>年</w:t>
      </w:r>
      <w:r>
        <w:rPr>
          <w:rFonts w:hint="eastAsia" w:ascii="宋体" w:hAnsi="宋体" w:cs="宋体"/>
          <w:b/>
          <w:color w:val="auto"/>
          <w:szCs w:val="22"/>
          <w:highlight w:val="none"/>
          <w:lang w:val="en-US" w:eastAsia="zh-CN"/>
        </w:rPr>
        <w:t xml:space="preserve">  </w:t>
      </w:r>
      <w:r>
        <w:rPr>
          <w:rFonts w:hint="eastAsia" w:ascii="宋体" w:hAnsi="宋体" w:cs="宋体"/>
          <w:b/>
          <w:color w:val="auto"/>
          <w:szCs w:val="22"/>
          <w:highlight w:val="none"/>
        </w:rPr>
        <w:t>月</w:t>
      </w:r>
      <w:r>
        <w:rPr>
          <w:rFonts w:hint="eastAsia" w:ascii="宋体" w:hAnsi="宋体" w:cs="宋体"/>
          <w:b/>
          <w:color w:val="auto"/>
          <w:szCs w:val="22"/>
          <w:highlight w:val="none"/>
          <w:lang w:val="en-US" w:eastAsia="zh-CN"/>
        </w:rPr>
        <w:t xml:space="preserve">  </w:t>
      </w:r>
      <w:r>
        <w:rPr>
          <w:rFonts w:hint="eastAsia" w:ascii="宋体" w:hAnsi="宋体" w:cs="宋体"/>
          <w:b/>
          <w:color w:val="auto"/>
          <w:szCs w:val="22"/>
          <w:highlight w:val="none"/>
        </w:rPr>
        <w:t>日</w:t>
      </w:r>
      <w:bookmarkStart w:id="16" w:name="_GoBack"/>
      <w:bookmarkEnd w:id="16"/>
      <w:r>
        <w:rPr>
          <w:rFonts w:hint="eastAsia" w:ascii="宋体" w:hAnsi="宋体" w:cs="宋体"/>
          <w:b/>
          <w:color w:val="auto"/>
          <w:szCs w:val="22"/>
          <w:highlight w:val="none"/>
        </w:rPr>
        <w:t>上午09:30分前，供应商须确保投标文件在邮寄接受时间内将投标文件寄到邮寄地址，否则导致投标文件不能接受或者未能在投标文件递交截止时间前送至开标地点而产生投标无效的后果，须由供应商自行承担。</w:t>
      </w:r>
    </w:p>
    <w:p>
      <w:pPr>
        <w:widowControl/>
        <w:snapToGrid w:val="0"/>
        <w:spacing w:line="460" w:lineRule="exact"/>
        <w:ind w:firstLine="420" w:firstLineChars="190"/>
        <w:jc w:val="left"/>
        <w:rPr>
          <w:rFonts w:hint="eastAsia" w:ascii="宋体" w:hAnsi="宋体" w:eastAsia="宋体" w:cs="宋体"/>
          <w:b/>
          <w:color w:val="auto"/>
          <w:szCs w:val="22"/>
          <w:highlight w:val="none"/>
          <w:lang w:eastAsia="zh-CN"/>
        </w:rPr>
      </w:pPr>
      <w:r>
        <w:rPr>
          <w:rFonts w:hint="eastAsia" w:ascii="宋体" w:hAnsi="宋体" w:cs="宋体"/>
          <w:b/>
          <w:color w:val="auto"/>
          <w:szCs w:val="22"/>
          <w:highlight w:val="none"/>
        </w:rPr>
        <w:t>邮寄接受人及联系方式：</w:t>
      </w:r>
      <w:r>
        <w:rPr>
          <w:rFonts w:hint="eastAsia" w:ascii="宋体" w:hAnsi="宋体" w:eastAsia="宋体" w:cs="宋体"/>
          <w:b/>
          <w:color w:val="auto"/>
          <w:szCs w:val="22"/>
          <w:highlight w:val="none"/>
          <w:lang w:val="en-US" w:eastAsia="zh-CN"/>
        </w:rPr>
        <w:t>吴女士</w:t>
      </w:r>
      <w:r>
        <w:rPr>
          <w:rFonts w:hint="eastAsia" w:ascii="宋体" w:hAnsi="宋体" w:cs="宋体"/>
          <w:b/>
          <w:color w:val="auto"/>
          <w:szCs w:val="22"/>
          <w:highlight w:val="none"/>
        </w:rPr>
        <w:t>-</w:t>
      </w:r>
      <w:r>
        <w:rPr>
          <w:rFonts w:hint="eastAsia" w:ascii="宋体" w:hAnsi="宋体" w:cs="宋体"/>
          <w:b/>
          <w:color w:val="auto"/>
          <w:szCs w:val="22"/>
          <w:highlight w:val="none"/>
          <w:lang w:eastAsia="zh-CN"/>
        </w:rPr>
        <w:t>15669781333</w:t>
      </w:r>
    </w:p>
    <w:p>
      <w:pPr>
        <w:widowControl/>
        <w:snapToGrid w:val="0"/>
        <w:spacing w:line="460" w:lineRule="exact"/>
        <w:ind w:firstLine="420" w:firstLineChars="190"/>
        <w:jc w:val="left"/>
        <w:rPr>
          <w:rFonts w:hint="eastAsia" w:ascii="宋体" w:hAnsi="宋体" w:cs="宋体"/>
          <w:b/>
          <w:color w:val="auto"/>
          <w:szCs w:val="22"/>
          <w:highlight w:val="none"/>
        </w:rPr>
      </w:pPr>
      <w:r>
        <w:rPr>
          <w:rFonts w:hint="eastAsia" w:ascii="宋体" w:hAnsi="宋体" w:cs="宋体"/>
          <w:b/>
          <w:color w:val="auto"/>
          <w:szCs w:val="22"/>
          <w:highlight w:val="none"/>
        </w:rPr>
        <w:t>邮寄地址：平阳县公共资源交易中心二楼大厅（平阳县鳌江镇火车站大道和谐家园二楼）</w:t>
      </w:r>
    </w:p>
    <w:p>
      <w:pPr>
        <w:widowControl/>
        <w:snapToGrid w:val="0"/>
        <w:spacing w:line="460" w:lineRule="exact"/>
        <w:ind w:firstLine="420" w:firstLineChars="190"/>
        <w:jc w:val="left"/>
        <w:rPr>
          <w:rFonts w:hint="eastAsia" w:ascii="宋体" w:hAnsi="宋体" w:cs="宋体"/>
          <w:b/>
          <w:color w:val="auto"/>
          <w:szCs w:val="22"/>
          <w:highlight w:val="none"/>
        </w:rPr>
      </w:pPr>
      <w:r>
        <w:rPr>
          <w:rFonts w:hint="eastAsia" w:ascii="宋体" w:hAnsi="宋体" w:cs="宋体"/>
          <w:b/>
          <w:color w:val="auto"/>
          <w:szCs w:val="22"/>
          <w:highlight w:val="none"/>
        </w:rPr>
        <w:t>供应商澄清、说明或者更正说明方式：供应商投标文件需注明授权代表或法定代表人的联系方式及电子邮箱。需要供应商澄清或签字确认的，供应商代表未到现场的，则发送询标或签字确认相关内容至供应商授权代表或法定代表人电子邮箱，供应商代表30分钟内澄清、说明、确认或者更正的回复发送至3439026955@qq.com，供应商在规定时间内未澄清或确认的则应说明理由，否则视为无异议。</w:t>
      </w:r>
    </w:p>
    <w:p>
      <w:pPr>
        <w:widowControl/>
        <w:snapToGrid w:val="0"/>
        <w:spacing w:line="460" w:lineRule="exact"/>
        <w:ind w:firstLine="420" w:firstLineChars="190"/>
        <w:jc w:val="left"/>
        <w:rPr>
          <w:rFonts w:hint="eastAsia" w:ascii="宋体" w:hAnsi="宋体" w:cs="宋体"/>
          <w:b/>
          <w:color w:val="auto"/>
          <w:szCs w:val="22"/>
          <w:highlight w:val="none"/>
        </w:rPr>
      </w:pPr>
      <w:r>
        <w:rPr>
          <w:rFonts w:hint="eastAsia" w:ascii="宋体" w:hAnsi="宋体" w:cs="宋体"/>
          <w:b/>
          <w:color w:val="auto"/>
          <w:szCs w:val="22"/>
          <w:highlight w:val="none"/>
        </w:rPr>
        <w:t>（二）现场递交方式</w:t>
      </w:r>
    </w:p>
    <w:p>
      <w:pPr>
        <w:widowControl/>
        <w:snapToGrid w:val="0"/>
        <w:spacing w:line="460" w:lineRule="exact"/>
        <w:ind w:firstLine="420" w:firstLineChars="190"/>
        <w:jc w:val="left"/>
        <w:rPr>
          <w:rFonts w:hint="eastAsia" w:ascii="宋体" w:hAnsi="宋体" w:cs="宋体"/>
          <w:b/>
          <w:color w:val="auto"/>
          <w:szCs w:val="22"/>
          <w:highlight w:val="none"/>
        </w:rPr>
      </w:pPr>
      <w:r>
        <w:rPr>
          <w:rFonts w:hint="eastAsia" w:ascii="宋体" w:hAnsi="宋体" w:cs="宋体"/>
          <w:b/>
          <w:color w:val="auto"/>
          <w:szCs w:val="22"/>
          <w:highlight w:val="none"/>
        </w:rPr>
        <w:t>采用现场递交方式的，若开标时仍在疫情期间，进入平阳县公共资源交易中心的供应商（原则上只允许一名供应商代表进入），须佩戴好口罩，出示健康绿码，经体温测量正常（不超过37.3℃）和信息登记后方可进入平阳县公共资源交易中心；不符合上述要求的人员，不得进入平阳县公共资源交易中心，其投标文件等资料由代理机构人员在平阳县公共资源交易中心门口接收，送至收标处。</w:t>
      </w:r>
    </w:p>
    <w:p>
      <w:pPr>
        <w:widowControl/>
        <w:snapToGrid w:val="0"/>
        <w:spacing w:line="460" w:lineRule="exact"/>
        <w:ind w:firstLine="420" w:firstLineChars="190"/>
        <w:jc w:val="left"/>
        <w:rPr>
          <w:rFonts w:hint="eastAsia" w:ascii="宋体" w:hAnsi="宋体" w:cs="宋体"/>
          <w:b/>
          <w:color w:val="auto"/>
          <w:szCs w:val="22"/>
          <w:highlight w:val="none"/>
        </w:rPr>
      </w:pPr>
      <w:r>
        <w:rPr>
          <w:rFonts w:hint="eastAsia" w:ascii="宋体" w:hAnsi="宋体" w:cs="宋体"/>
          <w:b/>
          <w:color w:val="auto"/>
          <w:szCs w:val="22"/>
          <w:highlight w:val="none"/>
        </w:rPr>
        <w:t>符合上述要求的供应商进入平阳县公共资源交易中心，将投标文件等资料送至收标处后，建议马上离场不要在平阳县公共资源内逗留，全程不得脱下口罩，不得随意走动，不与任何人员有密切接触，适当保持人员间隔距离，不扎堆聚集，不扎堆就餐，不面对面就餐，避免就餐时说话，不喧哗闲聊，在接触自己面部、特别是鼻孔与眼睛前先洗手，做好健康防护。</w:t>
      </w:r>
    </w:p>
    <w:p>
      <w:pPr>
        <w:widowControl/>
        <w:snapToGrid w:val="0"/>
        <w:spacing w:line="460" w:lineRule="exact"/>
        <w:ind w:firstLine="420" w:firstLineChars="190"/>
        <w:jc w:val="left"/>
        <w:rPr>
          <w:rFonts w:hint="eastAsia" w:ascii="宋体" w:hAnsi="宋体" w:cs="宋体"/>
          <w:b/>
          <w:color w:val="auto"/>
          <w:szCs w:val="22"/>
          <w:highlight w:val="none"/>
          <w:u w:val="single"/>
        </w:rPr>
      </w:pPr>
      <w:r>
        <w:rPr>
          <w:rFonts w:hint="eastAsia" w:ascii="宋体" w:hAnsi="宋体" w:cs="宋体"/>
          <w:b/>
          <w:color w:val="auto"/>
          <w:szCs w:val="22"/>
          <w:highlight w:val="none"/>
        </w:rPr>
        <w:t>因疫情原因，倡导供应商不参加开标会议，由业主代表在开标现场监督，平阳县公共资源交易中心开标室具备影音录像功能。请各供应商在开标评标期间保持手机畅通，如遇询标等情况将电话通知联系供应商。供应商应严格遵守平阳县公共资源交易中心及新冠肺炎疫情防控期间的相关规定。</w:t>
      </w:r>
    </w:p>
    <w:p>
      <w:pPr>
        <w:autoSpaceDE w:val="0"/>
        <w:autoSpaceDN w:val="0"/>
        <w:adjustRightInd w:val="0"/>
        <w:snapToGrid w:val="0"/>
        <w:spacing w:line="420" w:lineRule="exact"/>
        <w:textAlignment w:val="bottom"/>
        <w:rPr>
          <w:rFonts w:hint="eastAsia" w:ascii="宋体" w:hAnsi="宋体" w:cs="宋体"/>
          <w:color w:val="auto"/>
          <w:szCs w:val="22"/>
          <w:highlight w:val="none"/>
        </w:rPr>
      </w:pPr>
      <w:r>
        <w:rPr>
          <w:rFonts w:hint="eastAsia" w:ascii="宋体" w:hAnsi="宋体" w:cs="宋体"/>
          <w:color w:val="auto"/>
          <w:szCs w:val="22"/>
          <w:highlight w:val="none"/>
        </w:rPr>
        <w:t>二、供应商资格要求</w:t>
      </w:r>
    </w:p>
    <w:p>
      <w:pPr>
        <w:autoSpaceDE w:val="0"/>
        <w:autoSpaceDN w:val="0"/>
        <w:adjustRightInd w:val="0"/>
        <w:snapToGrid w:val="0"/>
        <w:spacing w:line="420" w:lineRule="exact"/>
        <w:ind w:firstLine="431" w:firstLineChars="196"/>
        <w:textAlignment w:val="bottom"/>
        <w:rPr>
          <w:rFonts w:hint="eastAsia" w:ascii="宋体" w:hAnsi="宋体" w:cs="宋体"/>
          <w:color w:val="auto"/>
          <w:szCs w:val="22"/>
          <w:highlight w:val="none"/>
        </w:rPr>
      </w:pPr>
      <w:r>
        <w:rPr>
          <w:rFonts w:hint="eastAsia" w:ascii="宋体" w:hAnsi="宋体" w:cs="宋体"/>
          <w:color w:val="auto"/>
          <w:szCs w:val="22"/>
          <w:highlight w:val="none"/>
        </w:rPr>
        <w:t>按招标公告要求</w:t>
      </w:r>
    </w:p>
    <w:p>
      <w:pPr>
        <w:autoSpaceDE w:val="0"/>
        <w:autoSpaceDN w:val="0"/>
        <w:adjustRightInd w:val="0"/>
        <w:snapToGrid w:val="0"/>
        <w:spacing w:line="420" w:lineRule="exact"/>
        <w:textAlignment w:val="bottom"/>
        <w:rPr>
          <w:rFonts w:hint="eastAsia" w:ascii="宋体" w:hAnsi="宋体" w:cs="宋体"/>
          <w:color w:val="auto"/>
          <w:szCs w:val="22"/>
          <w:highlight w:val="none"/>
        </w:rPr>
      </w:pPr>
      <w:r>
        <w:rPr>
          <w:rFonts w:hint="eastAsia" w:ascii="宋体" w:hAnsi="宋体" w:cs="宋体"/>
          <w:color w:val="auto"/>
          <w:szCs w:val="22"/>
          <w:highlight w:val="none"/>
        </w:rPr>
        <w:t>三、招标文件</w:t>
      </w:r>
    </w:p>
    <w:p>
      <w:pPr>
        <w:autoSpaceDE w:val="0"/>
        <w:autoSpaceDN w:val="0"/>
        <w:adjustRightInd w:val="0"/>
        <w:snapToGrid w:val="0"/>
        <w:spacing w:line="420" w:lineRule="exact"/>
        <w:ind w:firstLine="431" w:firstLineChars="196"/>
        <w:textAlignment w:val="bottom"/>
        <w:rPr>
          <w:rFonts w:hint="eastAsia" w:ascii="宋体" w:hAnsi="宋体" w:cs="宋体"/>
          <w:color w:val="auto"/>
          <w:szCs w:val="22"/>
          <w:highlight w:val="none"/>
        </w:rPr>
      </w:pPr>
      <w:r>
        <w:rPr>
          <w:rFonts w:hint="eastAsia" w:ascii="宋体" w:hAnsi="宋体" w:cs="宋体"/>
          <w:color w:val="auto"/>
          <w:szCs w:val="22"/>
          <w:highlight w:val="none"/>
        </w:rPr>
        <w:t>1、招标文件</w:t>
      </w:r>
    </w:p>
    <w:p>
      <w:pPr>
        <w:autoSpaceDE w:val="0"/>
        <w:autoSpaceDN w:val="0"/>
        <w:adjustRightInd w:val="0"/>
        <w:snapToGrid w:val="0"/>
        <w:spacing w:line="420" w:lineRule="exact"/>
        <w:ind w:firstLine="431" w:firstLineChars="196"/>
        <w:textAlignment w:val="bottom"/>
        <w:rPr>
          <w:rFonts w:hint="eastAsia" w:ascii="宋体" w:hAnsi="宋体" w:cs="宋体"/>
          <w:color w:val="auto"/>
          <w:szCs w:val="22"/>
          <w:highlight w:val="none"/>
        </w:rPr>
      </w:pPr>
      <w:r>
        <w:rPr>
          <w:rFonts w:hint="eastAsia" w:ascii="宋体" w:hAnsi="宋体" w:cs="宋体"/>
          <w:color w:val="auto"/>
          <w:szCs w:val="22"/>
          <w:highlight w:val="none"/>
        </w:rPr>
        <w:t>1.1招标文件发放</w:t>
      </w:r>
    </w:p>
    <w:p>
      <w:pPr>
        <w:autoSpaceDE w:val="0"/>
        <w:autoSpaceDN w:val="0"/>
        <w:adjustRightInd w:val="0"/>
        <w:snapToGrid w:val="0"/>
        <w:spacing w:line="420" w:lineRule="exact"/>
        <w:ind w:firstLine="431" w:firstLineChars="196"/>
        <w:textAlignment w:val="bottom"/>
        <w:rPr>
          <w:rFonts w:hint="eastAsia" w:ascii="宋体" w:hAnsi="宋体" w:cs="宋体"/>
          <w:color w:val="auto"/>
          <w:szCs w:val="22"/>
          <w:highlight w:val="none"/>
        </w:rPr>
      </w:pPr>
      <w:r>
        <w:rPr>
          <w:rFonts w:hint="eastAsia" w:ascii="宋体" w:hAnsi="宋体" w:cs="宋体"/>
          <w:color w:val="auto"/>
          <w:szCs w:val="22"/>
          <w:highlight w:val="none"/>
        </w:rPr>
        <w:t>供应商在浙江省政府采购网或温州市公共资源交易网平阳县分网直接下载本项目招标文件。</w:t>
      </w:r>
    </w:p>
    <w:p>
      <w:pPr>
        <w:autoSpaceDE w:val="0"/>
        <w:autoSpaceDN w:val="0"/>
        <w:adjustRightInd w:val="0"/>
        <w:snapToGrid w:val="0"/>
        <w:spacing w:line="420" w:lineRule="exact"/>
        <w:ind w:firstLine="431" w:firstLineChars="196"/>
        <w:textAlignment w:val="bottom"/>
        <w:rPr>
          <w:rFonts w:hint="eastAsia" w:ascii="宋体" w:hAnsi="宋体" w:cs="宋体"/>
          <w:color w:val="auto"/>
          <w:szCs w:val="22"/>
          <w:highlight w:val="none"/>
        </w:rPr>
      </w:pPr>
      <w:r>
        <w:rPr>
          <w:rFonts w:hint="eastAsia" w:ascii="宋体" w:hAnsi="宋体" w:cs="宋体"/>
          <w:color w:val="auto"/>
          <w:szCs w:val="22"/>
          <w:highlight w:val="none"/>
        </w:rPr>
        <w:t>1.2招标文件约束力</w:t>
      </w:r>
    </w:p>
    <w:p>
      <w:pPr>
        <w:autoSpaceDE w:val="0"/>
        <w:autoSpaceDN w:val="0"/>
        <w:adjustRightInd w:val="0"/>
        <w:snapToGrid w:val="0"/>
        <w:spacing w:line="420" w:lineRule="exact"/>
        <w:ind w:firstLine="431" w:firstLineChars="196"/>
        <w:textAlignment w:val="bottom"/>
        <w:rPr>
          <w:rFonts w:hint="eastAsia" w:ascii="宋体" w:hAnsi="宋体" w:cs="宋体"/>
          <w:color w:val="auto"/>
          <w:szCs w:val="22"/>
          <w:highlight w:val="none"/>
          <w:u w:val="single"/>
        </w:rPr>
      </w:pPr>
      <w:r>
        <w:rPr>
          <w:rFonts w:hint="eastAsia" w:ascii="宋体" w:hAnsi="宋体" w:cs="宋体"/>
          <w:color w:val="auto"/>
          <w:szCs w:val="22"/>
          <w:highlight w:val="none"/>
          <w:u w:val="single"/>
        </w:rPr>
        <w:t>供应商一旦获取了本招标文件并参加投标，即被认为接受了本招标文件中所有条款和规定。</w:t>
      </w:r>
      <w:r>
        <w:rPr>
          <w:rFonts w:hint="eastAsia" w:ascii="宋体" w:hAnsi="宋体" w:cs="宋体"/>
          <w:b/>
          <w:color w:val="auto"/>
          <w:szCs w:val="22"/>
          <w:highlight w:val="none"/>
          <w:u w:val="single"/>
        </w:rPr>
        <w:t>▲</w:t>
      </w:r>
    </w:p>
    <w:p>
      <w:pPr>
        <w:autoSpaceDE w:val="0"/>
        <w:autoSpaceDN w:val="0"/>
        <w:adjustRightInd w:val="0"/>
        <w:snapToGrid w:val="0"/>
        <w:spacing w:line="420" w:lineRule="exact"/>
        <w:ind w:firstLine="431" w:firstLineChars="196"/>
        <w:textAlignment w:val="bottom"/>
        <w:rPr>
          <w:rFonts w:hint="eastAsia" w:ascii="宋体" w:hAnsi="宋体" w:cs="宋体"/>
          <w:color w:val="auto"/>
          <w:szCs w:val="22"/>
          <w:highlight w:val="none"/>
        </w:rPr>
      </w:pPr>
      <w:r>
        <w:rPr>
          <w:rFonts w:hint="eastAsia" w:ascii="宋体" w:hAnsi="宋体" w:cs="宋体"/>
          <w:color w:val="auto"/>
          <w:szCs w:val="22"/>
          <w:highlight w:val="none"/>
        </w:rPr>
        <w:t>1.3招标文件的组成</w:t>
      </w:r>
    </w:p>
    <w:p>
      <w:pPr>
        <w:autoSpaceDE w:val="0"/>
        <w:autoSpaceDN w:val="0"/>
        <w:adjustRightInd w:val="0"/>
        <w:snapToGrid w:val="0"/>
        <w:spacing w:line="420" w:lineRule="exact"/>
        <w:ind w:firstLine="431" w:firstLineChars="196"/>
        <w:textAlignment w:val="bottom"/>
        <w:rPr>
          <w:rFonts w:hint="eastAsia" w:ascii="宋体" w:hAnsi="宋体" w:cs="宋体"/>
          <w:color w:val="auto"/>
          <w:szCs w:val="22"/>
          <w:highlight w:val="none"/>
        </w:rPr>
      </w:pPr>
      <w:r>
        <w:rPr>
          <w:rFonts w:hint="eastAsia" w:ascii="宋体" w:hAnsi="宋体" w:cs="宋体"/>
          <w:color w:val="auto"/>
          <w:szCs w:val="22"/>
          <w:highlight w:val="none"/>
        </w:rPr>
        <w:t>招标文件由招标文件总目录所列内容及补充资料等组成。</w:t>
      </w:r>
    </w:p>
    <w:p>
      <w:pPr>
        <w:autoSpaceDE w:val="0"/>
        <w:autoSpaceDN w:val="0"/>
        <w:adjustRightInd w:val="0"/>
        <w:snapToGrid w:val="0"/>
        <w:spacing w:line="420" w:lineRule="exact"/>
        <w:ind w:firstLine="431" w:firstLineChars="196"/>
        <w:textAlignment w:val="bottom"/>
        <w:rPr>
          <w:rFonts w:hint="eastAsia" w:ascii="宋体" w:hAnsi="宋体" w:cs="宋体"/>
          <w:color w:val="auto"/>
          <w:szCs w:val="22"/>
          <w:highlight w:val="none"/>
        </w:rPr>
      </w:pPr>
      <w:r>
        <w:rPr>
          <w:rFonts w:hint="eastAsia" w:ascii="宋体" w:hAnsi="宋体" w:cs="宋体"/>
          <w:color w:val="auto"/>
          <w:szCs w:val="22"/>
          <w:highlight w:val="none"/>
        </w:rPr>
        <w:t>2、招标文件的澄清</w:t>
      </w:r>
    </w:p>
    <w:p>
      <w:pPr>
        <w:autoSpaceDE w:val="0"/>
        <w:autoSpaceDN w:val="0"/>
        <w:adjustRightInd w:val="0"/>
        <w:snapToGrid w:val="0"/>
        <w:spacing w:line="420" w:lineRule="exact"/>
        <w:ind w:firstLine="431" w:firstLineChars="196"/>
        <w:textAlignment w:val="bottom"/>
        <w:rPr>
          <w:rFonts w:hint="eastAsia" w:ascii="宋体" w:hAnsi="宋体" w:cs="宋体"/>
          <w:color w:val="auto"/>
          <w:szCs w:val="22"/>
          <w:highlight w:val="none"/>
        </w:rPr>
      </w:pPr>
      <w:r>
        <w:rPr>
          <w:rFonts w:hint="eastAsia" w:ascii="宋体" w:hAnsi="宋体" w:cs="宋体"/>
          <w:color w:val="auto"/>
          <w:szCs w:val="22"/>
          <w:highlight w:val="none"/>
        </w:rPr>
        <w:t>供应商对招标文件如有疑点要求澄清，可用书面形式（包括信函、传真，下同）通知</w:t>
      </w:r>
      <w:r>
        <w:rPr>
          <w:rFonts w:hint="eastAsia" w:ascii="宋体" w:hAnsi="宋体" w:cs="宋体"/>
          <w:color w:val="auto"/>
          <w:szCs w:val="22"/>
          <w:highlight w:val="none"/>
          <w:u w:val="single"/>
        </w:rPr>
        <w:t>招标代理机构</w:t>
      </w:r>
      <w:r>
        <w:rPr>
          <w:rFonts w:hint="eastAsia" w:ascii="宋体" w:hAnsi="宋体" w:cs="宋体"/>
          <w:color w:val="auto"/>
          <w:szCs w:val="22"/>
          <w:highlight w:val="none"/>
        </w:rPr>
        <w:t>，但通知不得迟于规定的质疑时间前使招标代理机构收到，招标代理机构将采用用网上答疑形式予以答复。</w:t>
      </w:r>
    </w:p>
    <w:p>
      <w:pPr>
        <w:autoSpaceDE w:val="0"/>
        <w:autoSpaceDN w:val="0"/>
        <w:adjustRightInd w:val="0"/>
        <w:snapToGrid w:val="0"/>
        <w:spacing w:line="420" w:lineRule="exact"/>
        <w:ind w:firstLine="431" w:firstLineChars="196"/>
        <w:textAlignment w:val="bottom"/>
        <w:rPr>
          <w:rFonts w:hint="eastAsia" w:ascii="宋体" w:hAnsi="宋体" w:cs="宋体"/>
          <w:color w:val="auto"/>
          <w:szCs w:val="22"/>
          <w:highlight w:val="none"/>
        </w:rPr>
      </w:pPr>
      <w:r>
        <w:rPr>
          <w:rFonts w:hint="eastAsia" w:ascii="宋体" w:hAnsi="宋体" w:cs="宋体"/>
          <w:color w:val="auto"/>
          <w:szCs w:val="22"/>
          <w:highlight w:val="none"/>
        </w:rPr>
        <w:t>3、招标文件的修改</w:t>
      </w:r>
    </w:p>
    <w:p>
      <w:pPr>
        <w:autoSpaceDE w:val="0"/>
        <w:autoSpaceDN w:val="0"/>
        <w:adjustRightInd w:val="0"/>
        <w:snapToGrid w:val="0"/>
        <w:spacing w:line="420" w:lineRule="exact"/>
        <w:ind w:firstLine="431" w:firstLineChars="196"/>
        <w:textAlignment w:val="bottom"/>
        <w:rPr>
          <w:rFonts w:hint="eastAsia" w:ascii="宋体" w:hAnsi="宋体" w:cs="宋体"/>
          <w:color w:val="auto"/>
          <w:szCs w:val="22"/>
          <w:highlight w:val="none"/>
        </w:rPr>
      </w:pPr>
      <w:r>
        <w:rPr>
          <w:rFonts w:hint="eastAsia" w:ascii="宋体" w:hAnsi="宋体" w:cs="宋体"/>
          <w:color w:val="auto"/>
          <w:szCs w:val="22"/>
          <w:highlight w:val="none"/>
        </w:rPr>
        <w:t>3.1 在投标截止时间前，采购人有权修改招标文件，并在网上发布更正公告。补充文件作为招标文件的补充和组成部分，对所有供应商均有约束力。</w:t>
      </w:r>
    </w:p>
    <w:p>
      <w:pPr>
        <w:autoSpaceDE w:val="0"/>
        <w:autoSpaceDN w:val="0"/>
        <w:adjustRightInd w:val="0"/>
        <w:snapToGrid w:val="0"/>
        <w:spacing w:line="420" w:lineRule="exact"/>
        <w:ind w:firstLine="431" w:firstLineChars="196"/>
        <w:textAlignment w:val="bottom"/>
        <w:rPr>
          <w:rFonts w:hint="eastAsia" w:ascii="宋体" w:hAnsi="宋体" w:cs="宋体"/>
          <w:color w:val="auto"/>
          <w:szCs w:val="22"/>
          <w:highlight w:val="none"/>
        </w:rPr>
      </w:pPr>
      <w:r>
        <w:rPr>
          <w:rFonts w:hint="eastAsia" w:ascii="宋体" w:hAnsi="宋体" w:cs="宋体"/>
          <w:color w:val="auto"/>
          <w:szCs w:val="22"/>
          <w:highlight w:val="none"/>
        </w:rPr>
        <w:t>3.2 为使供应商有足够的时间按招标文件要求修正投标文件，采购人可酌情推迟投标截止时间和开标时间，并将此变更网上告知。</w:t>
      </w:r>
    </w:p>
    <w:p>
      <w:pPr>
        <w:autoSpaceDE w:val="0"/>
        <w:autoSpaceDN w:val="0"/>
        <w:adjustRightInd w:val="0"/>
        <w:snapToGrid w:val="0"/>
        <w:spacing w:line="420" w:lineRule="exact"/>
        <w:textAlignment w:val="bottom"/>
        <w:rPr>
          <w:rFonts w:hint="eastAsia" w:ascii="宋体" w:hAnsi="宋体" w:cs="宋体"/>
          <w:color w:val="auto"/>
          <w:szCs w:val="22"/>
          <w:highlight w:val="none"/>
        </w:rPr>
      </w:pPr>
      <w:r>
        <w:rPr>
          <w:rFonts w:hint="eastAsia" w:ascii="宋体" w:hAnsi="宋体" w:cs="宋体"/>
          <w:color w:val="auto"/>
          <w:szCs w:val="22"/>
          <w:highlight w:val="none"/>
        </w:rPr>
        <w:t>四、投标文件</w:t>
      </w:r>
    </w:p>
    <w:p>
      <w:pPr>
        <w:autoSpaceDE w:val="0"/>
        <w:autoSpaceDN w:val="0"/>
        <w:adjustRightInd w:val="0"/>
        <w:snapToGrid w:val="0"/>
        <w:spacing w:line="420" w:lineRule="exact"/>
        <w:ind w:firstLine="431" w:firstLineChars="196"/>
        <w:textAlignment w:val="bottom"/>
        <w:rPr>
          <w:rFonts w:hint="eastAsia" w:ascii="宋体" w:hAnsi="宋体" w:cs="宋体"/>
          <w:color w:val="auto"/>
          <w:szCs w:val="22"/>
          <w:highlight w:val="none"/>
        </w:rPr>
      </w:pPr>
      <w:r>
        <w:rPr>
          <w:rFonts w:hint="eastAsia" w:ascii="宋体" w:hAnsi="宋体" w:cs="宋体"/>
          <w:color w:val="auto"/>
          <w:szCs w:val="22"/>
          <w:highlight w:val="none"/>
        </w:rPr>
        <w:t>1、投标文件</w:t>
      </w:r>
    </w:p>
    <w:p>
      <w:pPr>
        <w:autoSpaceDE w:val="0"/>
        <w:autoSpaceDN w:val="0"/>
        <w:adjustRightInd w:val="0"/>
        <w:snapToGrid w:val="0"/>
        <w:spacing w:line="420" w:lineRule="exact"/>
        <w:ind w:firstLine="440" w:firstLineChars="200"/>
        <w:textAlignment w:val="bottom"/>
        <w:rPr>
          <w:rFonts w:hint="eastAsia" w:ascii="宋体" w:hAnsi="宋体" w:cs="宋体"/>
          <w:color w:val="auto"/>
          <w:szCs w:val="22"/>
          <w:highlight w:val="none"/>
        </w:rPr>
      </w:pPr>
      <w:r>
        <w:rPr>
          <w:rFonts w:hint="eastAsia" w:ascii="宋体" w:hAnsi="宋体" w:cs="宋体"/>
          <w:color w:val="auto"/>
          <w:szCs w:val="22"/>
          <w:highlight w:val="none"/>
          <w:lang w:val="zh-CN"/>
        </w:rPr>
        <w:t>1.1</w:t>
      </w:r>
      <w:r>
        <w:rPr>
          <w:rFonts w:hint="eastAsia" w:ascii="宋体" w:hAnsi="宋体" w:cs="宋体"/>
          <w:color w:val="auto"/>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pPr>
        <w:autoSpaceDE w:val="0"/>
        <w:autoSpaceDN w:val="0"/>
        <w:adjustRightInd w:val="0"/>
        <w:snapToGrid w:val="0"/>
        <w:spacing w:line="420" w:lineRule="exact"/>
        <w:ind w:firstLine="440" w:firstLineChars="200"/>
        <w:textAlignment w:val="bottom"/>
        <w:rPr>
          <w:rFonts w:hint="eastAsia" w:ascii="宋体" w:hAnsi="宋体" w:cs="宋体"/>
          <w:color w:val="auto"/>
          <w:szCs w:val="22"/>
          <w:highlight w:val="none"/>
        </w:rPr>
      </w:pPr>
      <w:r>
        <w:rPr>
          <w:rFonts w:hint="eastAsia" w:ascii="宋体" w:hAnsi="宋体" w:cs="宋体"/>
          <w:color w:val="auto"/>
          <w:szCs w:val="22"/>
          <w:highlight w:val="none"/>
          <w:lang w:val="zh-CN"/>
        </w:rPr>
        <w:t>1.2</w:t>
      </w:r>
      <w:r>
        <w:rPr>
          <w:rFonts w:hint="eastAsia" w:ascii="宋体" w:hAnsi="宋体" w:cs="宋体"/>
          <w:b/>
          <w:bCs/>
          <w:color w:val="auto"/>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20" w:lineRule="exact"/>
        <w:ind w:firstLine="431" w:firstLineChars="196"/>
        <w:textAlignment w:val="bottom"/>
        <w:rPr>
          <w:rFonts w:hint="eastAsia" w:ascii="宋体" w:hAnsi="宋体" w:cs="宋体"/>
          <w:color w:val="auto"/>
          <w:szCs w:val="22"/>
          <w:highlight w:val="none"/>
        </w:rPr>
      </w:pPr>
      <w:r>
        <w:rPr>
          <w:rFonts w:hint="eastAsia" w:ascii="宋体" w:hAnsi="宋体" w:cs="宋体"/>
          <w:color w:val="auto"/>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20" w:lineRule="exact"/>
        <w:ind w:firstLine="431" w:firstLineChars="196"/>
        <w:textAlignment w:val="bottom"/>
        <w:rPr>
          <w:rFonts w:hint="eastAsia" w:ascii="宋体" w:hAnsi="宋体" w:cs="宋体"/>
          <w:color w:val="auto"/>
          <w:szCs w:val="22"/>
          <w:highlight w:val="none"/>
        </w:rPr>
      </w:pPr>
      <w:r>
        <w:rPr>
          <w:rFonts w:hint="eastAsia" w:ascii="宋体" w:hAnsi="宋体" w:cs="宋体"/>
          <w:color w:val="auto"/>
          <w:szCs w:val="22"/>
          <w:highlight w:val="none"/>
        </w:rPr>
        <w:t>2、投标文件的组成</w:t>
      </w:r>
    </w:p>
    <w:p>
      <w:pPr>
        <w:autoSpaceDE w:val="0"/>
        <w:autoSpaceDN w:val="0"/>
        <w:adjustRightInd w:val="0"/>
        <w:snapToGrid w:val="0"/>
        <w:spacing w:line="400" w:lineRule="exact"/>
        <w:ind w:firstLine="442" w:firstLineChars="200"/>
        <w:rPr>
          <w:rFonts w:hint="eastAsia"/>
          <w:b/>
          <w:color w:val="auto"/>
          <w:sz w:val="22"/>
          <w:szCs w:val="22"/>
          <w:highlight w:val="none"/>
          <w:u w:val="single"/>
        </w:rPr>
      </w:pPr>
      <w:r>
        <w:rPr>
          <w:rFonts w:hint="eastAsia"/>
          <w:b/>
          <w:color w:val="auto"/>
          <w:sz w:val="22"/>
          <w:szCs w:val="22"/>
          <w:highlight w:val="none"/>
          <w:u w:val="single"/>
        </w:rPr>
        <w:t>投标文件由商务报价部分和技术资信部分、资格审核及其他原件资料三部分组成，须分别装订成册，分别密封。技术资信部分（含资信与服务）不得含报价，否则投标将被拒绝。</w:t>
      </w:r>
    </w:p>
    <w:p>
      <w:pPr>
        <w:autoSpaceDE w:val="0"/>
        <w:autoSpaceDN w:val="0"/>
        <w:adjustRightInd w:val="0"/>
        <w:snapToGrid w:val="0"/>
        <w:spacing w:line="460" w:lineRule="atLeast"/>
        <w:ind w:firstLine="442" w:firstLineChars="200"/>
        <w:rPr>
          <w:rFonts w:hint="eastAsia"/>
          <w:b/>
          <w:color w:val="auto"/>
          <w:szCs w:val="22"/>
          <w:highlight w:val="none"/>
          <w:lang w:val="zh-CN"/>
        </w:rPr>
      </w:pPr>
      <w:r>
        <w:rPr>
          <w:rFonts w:hint="eastAsia"/>
          <w:b/>
          <w:color w:val="auto"/>
          <w:szCs w:val="22"/>
          <w:highlight w:val="none"/>
          <w:lang w:val="zh-CN"/>
        </w:rPr>
        <w:t>2.1、</w:t>
      </w:r>
      <w:r>
        <w:rPr>
          <w:rFonts w:hint="eastAsia"/>
          <w:b/>
          <w:color w:val="auto"/>
          <w:szCs w:val="22"/>
          <w:highlight w:val="none"/>
          <w:u w:val="single"/>
        </w:rPr>
        <w:t>商务报价部分</w:t>
      </w:r>
      <w:r>
        <w:rPr>
          <w:rFonts w:hint="eastAsia"/>
          <w:b/>
          <w:color w:val="auto"/>
          <w:szCs w:val="22"/>
          <w:highlight w:val="none"/>
          <w:u w:val="single"/>
          <w:lang w:val="zh-CN"/>
        </w:rPr>
        <w:t>组成</w:t>
      </w:r>
    </w:p>
    <w:p>
      <w:pPr>
        <w:autoSpaceDE w:val="0"/>
        <w:autoSpaceDN w:val="0"/>
        <w:adjustRightInd w:val="0"/>
        <w:snapToGrid w:val="0"/>
        <w:spacing w:line="400" w:lineRule="exact"/>
        <w:ind w:firstLine="440" w:firstLineChars="200"/>
        <w:textAlignment w:val="bottom"/>
        <w:rPr>
          <w:rFonts w:hint="eastAsia"/>
          <w:color w:val="auto"/>
          <w:szCs w:val="22"/>
          <w:highlight w:val="none"/>
        </w:rPr>
      </w:pPr>
      <w:r>
        <w:rPr>
          <w:rFonts w:hint="eastAsia"/>
          <w:color w:val="auto"/>
          <w:szCs w:val="22"/>
          <w:highlight w:val="none"/>
        </w:rPr>
        <w:t>1）开标一览表（附件二（一））</w:t>
      </w:r>
    </w:p>
    <w:p>
      <w:pPr>
        <w:autoSpaceDE w:val="0"/>
        <w:autoSpaceDN w:val="0"/>
        <w:adjustRightInd w:val="0"/>
        <w:snapToGrid w:val="0"/>
        <w:spacing w:line="400" w:lineRule="exact"/>
        <w:ind w:firstLine="440" w:firstLineChars="200"/>
        <w:textAlignment w:val="bottom"/>
        <w:rPr>
          <w:rFonts w:hint="eastAsia"/>
          <w:bCs/>
          <w:color w:val="auto"/>
          <w:szCs w:val="22"/>
          <w:highlight w:val="none"/>
          <w:u w:val="thick"/>
        </w:rPr>
      </w:pPr>
      <w:r>
        <w:rPr>
          <w:rFonts w:hint="eastAsia"/>
          <w:color w:val="auto"/>
          <w:szCs w:val="22"/>
          <w:highlight w:val="none"/>
        </w:rPr>
        <w:t>2）投标产品数量、价格表（附件二（二））</w:t>
      </w:r>
    </w:p>
    <w:p>
      <w:pPr>
        <w:autoSpaceDE w:val="0"/>
        <w:autoSpaceDN w:val="0"/>
        <w:adjustRightInd w:val="0"/>
        <w:snapToGrid w:val="0"/>
        <w:spacing w:line="400" w:lineRule="exact"/>
        <w:ind w:firstLine="440" w:firstLineChars="200"/>
        <w:textAlignment w:val="bottom"/>
        <w:rPr>
          <w:rFonts w:hint="eastAsia"/>
          <w:color w:val="auto"/>
          <w:szCs w:val="22"/>
          <w:highlight w:val="none"/>
        </w:rPr>
      </w:pPr>
      <w:r>
        <w:rPr>
          <w:rFonts w:hint="eastAsia"/>
          <w:color w:val="auto"/>
          <w:szCs w:val="22"/>
          <w:highlight w:val="none"/>
        </w:rPr>
        <w:t>3）随机备品备件及专用工具清单（附件六）</w:t>
      </w:r>
    </w:p>
    <w:p>
      <w:pPr>
        <w:autoSpaceDE w:val="0"/>
        <w:autoSpaceDN w:val="0"/>
        <w:adjustRightInd w:val="0"/>
        <w:snapToGrid w:val="0"/>
        <w:spacing w:line="400" w:lineRule="exact"/>
        <w:ind w:firstLine="440" w:firstLineChars="200"/>
        <w:textAlignment w:val="bottom"/>
        <w:rPr>
          <w:rFonts w:hint="eastAsia"/>
          <w:b/>
          <w:color w:val="auto"/>
          <w:highlight w:val="none"/>
        </w:rPr>
      </w:pPr>
      <w:r>
        <w:rPr>
          <w:rFonts w:hint="eastAsia"/>
          <w:color w:val="auto"/>
          <w:highlight w:val="none"/>
        </w:rPr>
        <w:t>4）产品零件、易损件、备品备件报价表（附件七）</w:t>
      </w:r>
    </w:p>
    <w:p>
      <w:pPr>
        <w:autoSpaceDE w:val="0"/>
        <w:autoSpaceDN w:val="0"/>
        <w:adjustRightInd w:val="0"/>
        <w:snapToGrid w:val="0"/>
        <w:spacing w:line="460" w:lineRule="atLeast"/>
        <w:ind w:firstLine="442" w:firstLineChars="200"/>
        <w:rPr>
          <w:rFonts w:hint="eastAsia"/>
          <w:b/>
          <w:color w:val="auto"/>
          <w:szCs w:val="22"/>
          <w:highlight w:val="none"/>
          <w:lang w:val="zh-CN"/>
        </w:rPr>
      </w:pPr>
      <w:r>
        <w:rPr>
          <w:rFonts w:hint="eastAsia"/>
          <w:b/>
          <w:color w:val="auto"/>
          <w:szCs w:val="22"/>
          <w:highlight w:val="none"/>
          <w:lang w:val="zh-CN"/>
        </w:rPr>
        <w:t>2.2、</w:t>
      </w:r>
      <w:r>
        <w:rPr>
          <w:rFonts w:hint="eastAsia"/>
          <w:b/>
          <w:color w:val="auto"/>
          <w:szCs w:val="22"/>
          <w:highlight w:val="none"/>
          <w:u w:val="single"/>
          <w:lang w:val="zh-CN"/>
        </w:rPr>
        <w:t>技术资信部分组成</w:t>
      </w:r>
    </w:p>
    <w:p>
      <w:pPr>
        <w:autoSpaceDE w:val="0"/>
        <w:autoSpaceDN w:val="0"/>
        <w:adjustRightInd w:val="0"/>
        <w:snapToGrid w:val="0"/>
        <w:spacing w:line="400" w:lineRule="exact"/>
        <w:ind w:firstLine="440" w:firstLineChars="200"/>
        <w:textAlignment w:val="bottom"/>
        <w:rPr>
          <w:rFonts w:hint="eastAsia"/>
          <w:color w:val="auto"/>
          <w:szCs w:val="22"/>
          <w:highlight w:val="none"/>
        </w:rPr>
      </w:pPr>
      <w:r>
        <w:rPr>
          <w:rFonts w:hint="eastAsia"/>
          <w:color w:val="auto"/>
          <w:szCs w:val="22"/>
          <w:highlight w:val="none"/>
        </w:rPr>
        <w:t>1) 投标函（附件一）；</w:t>
      </w:r>
    </w:p>
    <w:p>
      <w:pPr>
        <w:autoSpaceDE w:val="0"/>
        <w:autoSpaceDN w:val="0"/>
        <w:adjustRightInd w:val="0"/>
        <w:snapToGrid w:val="0"/>
        <w:spacing w:line="400" w:lineRule="exact"/>
        <w:ind w:firstLine="440" w:firstLineChars="200"/>
        <w:textAlignment w:val="bottom"/>
        <w:rPr>
          <w:rFonts w:hint="eastAsia"/>
          <w:color w:val="auto"/>
          <w:szCs w:val="22"/>
          <w:highlight w:val="none"/>
        </w:rPr>
      </w:pPr>
      <w:r>
        <w:rPr>
          <w:rFonts w:hint="eastAsia"/>
          <w:color w:val="auto"/>
          <w:szCs w:val="22"/>
          <w:highlight w:val="none"/>
        </w:rPr>
        <w:t>2）法定代表人授权书（附件四（一））；</w:t>
      </w:r>
    </w:p>
    <w:p>
      <w:pPr>
        <w:autoSpaceDE w:val="0"/>
        <w:autoSpaceDN w:val="0"/>
        <w:adjustRightInd w:val="0"/>
        <w:snapToGrid w:val="0"/>
        <w:spacing w:line="400" w:lineRule="exact"/>
        <w:ind w:firstLine="440" w:firstLineChars="200"/>
        <w:textAlignment w:val="bottom"/>
        <w:rPr>
          <w:rFonts w:hint="eastAsia"/>
          <w:color w:val="auto"/>
          <w:szCs w:val="22"/>
          <w:highlight w:val="none"/>
        </w:rPr>
      </w:pPr>
      <w:r>
        <w:rPr>
          <w:rFonts w:hint="eastAsia"/>
          <w:color w:val="auto"/>
          <w:szCs w:val="22"/>
          <w:highlight w:val="none"/>
        </w:rPr>
        <w:t>3）投标产品的数量、</w:t>
      </w:r>
      <w:r>
        <w:rPr>
          <w:rFonts w:hint="eastAsia"/>
          <w:color w:val="auto"/>
          <w:spacing w:val="20"/>
          <w:szCs w:val="22"/>
          <w:highlight w:val="none"/>
        </w:rPr>
        <w:t>配置及主要技术参数表</w:t>
      </w:r>
      <w:r>
        <w:rPr>
          <w:rFonts w:hint="eastAsia"/>
          <w:color w:val="auto"/>
          <w:szCs w:val="22"/>
          <w:highlight w:val="none"/>
        </w:rPr>
        <w:t xml:space="preserve">（附件二（三））； </w:t>
      </w:r>
    </w:p>
    <w:p>
      <w:pPr>
        <w:autoSpaceDE w:val="0"/>
        <w:autoSpaceDN w:val="0"/>
        <w:adjustRightInd w:val="0"/>
        <w:snapToGrid w:val="0"/>
        <w:spacing w:line="400" w:lineRule="exact"/>
        <w:ind w:firstLine="440" w:firstLineChars="200"/>
        <w:textAlignment w:val="bottom"/>
        <w:rPr>
          <w:rFonts w:hint="eastAsia"/>
          <w:color w:val="auto"/>
          <w:szCs w:val="22"/>
          <w:highlight w:val="none"/>
        </w:rPr>
      </w:pPr>
      <w:r>
        <w:rPr>
          <w:rFonts w:hint="eastAsia"/>
          <w:color w:val="auto"/>
          <w:szCs w:val="22"/>
          <w:highlight w:val="none"/>
        </w:rPr>
        <w:t>4）投标产品的主要技术、配置、性能、特点和质量水平的详细描述及产品样本图册</w:t>
      </w:r>
      <w:r>
        <w:rPr>
          <w:rFonts w:hint="eastAsia"/>
          <w:color w:val="auto"/>
          <w:szCs w:val="22"/>
          <w:highlight w:val="none"/>
          <w:u w:val="single"/>
        </w:rPr>
        <w:t>（包括配置、部件来源说明等）（</w:t>
      </w:r>
      <w:r>
        <w:rPr>
          <w:rFonts w:hint="eastAsia"/>
          <w:b/>
          <w:color w:val="auto"/>
          <w:szCs w:val="22"/>
          <w:highlight w:val="none"/>
          <w:u w:val="single"/>
        </w:rPr>
        <w:t>如果资料提供不全或完全抄袭招标文件，可能导致对供应商不利的评定</w:t>
      </w:r>
      <w:r>
        <w:rPr>
          <w:rFonts w:hint="eastAsia"/>
          <w:color w:val="auto"/>
          <w:szCs w:val="22"/>
          <w:highlight w:val="none"/>
          <w:u w:val="single"/>
        </w:rPr>
        <w:t>）</w:t>
      </w:r>
      <w:r>
        <w:rPr>
          <w:rFonts w:hint="eastAsia"/>
          <w:color w:val="auto"/>
          <w:szCs w:val="22"/>
          <w:highlight w:val="none"/>
        </w:rPr>
        <w:t>；</w:t>
      </w:r>
    </w:p>
    <w:p>
      <w:pPr>
        <w:autoSpaceDE w:val="0"/>
        <w:autoSpaceDN w:val="0"/>
        <w:adjustRightInd w:val="0"/>
        <w:snapToGrid w:val="0"/>
        <w:spacing w:line="400" w:lineRule="exact"/>
        <w:ind w:firstLine="440" w:firstLineChars="200"/>
        <w:textAlignment w:val="bottom"/>
        <w:rPr>
          <w:rFonts w:hint="eastAsia"/>
          <w:color w:val="auto"/>
          <w:szCs w:val="22"/>
          <w:highlight w:val="none"/>
        </w:rPr>
      </w:pPr>
      <w:r>
        <w:rPr>
          <w:rFonts w:hint="eastAsia"/>
          <w:color w:val="auto"/>
          <w:szCs w:val="22"/>
          <w:highlight w:val="none"/>
        </w:rPr>
        <w:t>5）偏离表（附件三）；</w:t>
      </w:r>
    </w:p>
    <w:p>
      <w:pPr>
        <w:autoSpaceDE w:val="0"/>
        <w:autoSpaceDN w:val="0"/>
        <w:adjustRightInd w:val="0"/>
        <w:snapToGrid w:val="0"/>
        <w:spacing w:line="400" w:lineRule="exact"/>
        <w:ind w:firstLine="440" w:firstLineChars="200"/>
        <w:textAlignment w:val="bottom"/>
        <w:rPr>
          <w:rFonts w:hint="eastAsia"/>
          <w:color w:val="auto"/>
          <w:szCs w:val="22"/>
          <w:highlight w:val="none"/>
        </w:rPr>
      </w:pPr>
      <w:r>
        <w:rPr>
          <w:rFonts w:hint="eastAsia"/>
          <w:color w:val="auto"/>
          <w:szCs w:val="22"/>
          <w:highlight w:val="none"/>
        </w:rPr>
        <w:t>6）投标供应商情况声明（见附件四（二））；供应商财务报表、依法缴纳税收的证明材料、依法缴纳社保的证明材料。</w:t>
      </w:r>
      <w:r>
        <w:rPr>
          <w:rFonts w:hint="eastAsia"/>
          <w:b/>
          <w:color w:val="auto"/>
          <w:szCs w:val="22"/>
          <w:highlight w:val="none"/>
        </w:rPr>
        <w:t>供应商提供供应商</w:t>
      </w:r>
      <w:r>
        <w:rPr>
          <w:b/>
          <w:color w:val="auto"/>
          <w:szCs w:val="22"/>
          <w:highlight w:val="none"/>
        </w:rPr>
        <w:t>“信用中国”(</w:t>
      </w:r>
      <w:r>
        <w:rPr>
          <w:b/>
          <w:color w:val="auto"/>
          <w:szCs w:val="22"/>
          <w:highlight w:val="none"/>
        </w:rPr>
        <w:fldChar w:fldCharType="begin"/>
      </w:r>
      <w:r>
        <w:rPr>
          <w:b/>
          <w:color w:val="auto"/>
          <w:szCs w:val="22"/>
          <w:highlight w:val="none"/>
        </w:rPr>
        <w:instrText xml:space="preserve"> HYPERLINK "http://www.creditchina.gov.cn" </w:instrText>
      </w:r>
      <w:r>
        <w:rPr>
          <w:b/>
          <w:color w:val="auto"/>
          <w:szCs w:val="22"/>
          <w:highlight w:val="none"/>
        </w:rPr>
        <w:fldChar w:fldCharType="separate"/>
      </w:r>
      <w:r>
        <w:rPr>
          <w:b/>
          <w:color w:val="auto"/>
          <w:szCs w:val="22"/>
          <w:highlight w:val="none"/>
        </w:rPr>
        <w:t>www.creditchina.gov.cn</w:t>
      </w:r>
      <w:r>
        <w:rPr>
          <w:b/>
          <w:color w:val="auto"/>
          <w:szCs w:val="22"/>
          <w:highlight w:val="none"/>
        </w:rPr>
        <w:fldChar w:fldCharType="end"/>
      </w:r>
      <w:r>
        <w:rPr>
          <w:b/>
          <w:color w:val="auto"/>
          <w:szCs w:val="22"/>
          <w:highlight w:val="none"/>
        </w:rPr>
        <w:t>)</w:t>
      </w:r>
      <w:r>
        <w:rPr>
          <w:rFonts w:hint="eastAsia"/>
          <w:b/>
          <w:color w:val="auto"/>
          <w:szCs w:val="22"/>
          <w:highlight w:val="none"/>
        </w:rPr>
        <w:t>；“中国政府采购网”（</w:t>
      </w:r>
      <w:r>
        <w:rPr>
          <w:b/>
          <w:color w:val="auto"/>
          <w:szCs w:val="22"/>
          <w:highlight w:val="none"/>
        </w:rPr>
        <w:t>http://www.ccgp.gov.cn/</w:t>
      </w:r>
      <w:r>
        <w:rPr>
          <w:rFonts w:hint="eastAsia"/>
          <w:b/>
          <w:color w:val="auto"/>
          <w:szCs w:val="22"/>
          <w:highlight w:val="none"/>
        </w:rPr>
        <w:t>）信用记录网页截图（招标公告发布之日至投标截止时间前）。</w:t>
      </w:r>
    </w:p>
    <w:p>
      <w:pPr>
        <w:autoSpaceDE w:val="0"/>
        <w:autoSpaceDN w:val="0"/>
        <w:adjustRightInd w:val="0"/>
        <w:snapToGrid w:val="0"/>
        <w:spacing w:line="400" w:lineRule="exact"/>
        <w:ind w:firstLine="440" w:firstLineChars="200"/>
        <w:textAlignment w:val="bottom"/>
        <w:rPr>
          <w:rFonts w:hint="eastAsia"/>
          <w:color w:val="auto"/>
          <w:szCs w:val="22"/>
          <w:highlight w:val="none"/>
        </w:rPr>
      </w:pPr>
      <w:r>
        <w:rPr>
          <w:rFonts w:hint="eastAsia"/>
          <w:color w:val="auto"/>
          <w:szCs w:val="22"/>
          <w:highlight w:val="none"/>
        </w:rPr>
        <w:t>7）供应商营业执照（复印件加盖有效公章）；</w:t>
      </w:r>
    </w:p>
    <w:p>
      <w:pPr>
        <w:autoSpaceDE w:val="0"/>
        <w:autoSpaceDN w:val="0"/>
        <w:adjustRightInd w:val="0"/>
        <w:snapToGrid w:val="0"/>
        <w:spacing w:line="400" w:lineRule="exact"/>
        <w:ind w:firstLine="440" w:firstLineChars="200"/>
        <w:textAlignment w:val="bottom"/>
        <w:rPr>
          <w:rFonts w:hint="eastAsia"/>
          <w:color w:val="auto"/>
          <w:szCs w:val="22"/>
          <w:highlight w:val="none"/>
        </w:rPr>
      </w:pPr>
      <w:r>
        <w:rPr>
          <w:rFonts w:hint="eastAsia"/>
          <w:color w:val="auto"/>
          <w:szCs w:val="22"/>
          <w:highlight w:val="none"/>
        </w:rPr>
        <w:t>8)供应商相关资质、资信或信用证书（如有则提供，复印件加盖有效公章）；</w:t>
      </w:r>
    </w:p>
    <w:p>
      <w:pPr>
        <w:autoSpaceDE w:val="0"/>
        <w:autoSpaceDN w:val="0"/>
        <w:adjustRightInd w:val="0"/>
        <w:snapToGrid w:val="0"/>
        <w:spacing w:line="400" w:lineRule="exact"/>
        <w:ind w:firstLine="442" w:firstLineChars="200"/>
        <w:textAlignment w:val="bottom"/>
        <w:rPr>
          <w:rFonts w:hint="eastAsia"/>
          <w:b/>
          <w:color w:val="auto"/>
          <w:szCs w:val="22"/>
          <w:highlight w:val="none"/>
        </w:rPr>
      </w:pPr>
      <w:r>
        <w:rPr>
          <w:rFonts w:hint="eastAsia"/>
          <w:b/>
          <w:color w:val="auto"/>
          <w:szCs w:val="22"/>
          <w:highlight w:val="none"/>
        </w:rPr>
        <w:t>9）</w:t>
      </w:r>
      <w:r>
        <w:rPr>
          <w:rFonts w:hint="eastAsia"/>
          <w:color w:val="auto"/>
          <w:szCs w:val="22"/>
          <w:highlight w:val="none"/>
          <w:u w:val="single"/>
        </w:rPr>
        <w:t>节能产品认证证书、相关投标产品的工业品生产许可证、3C认证、检测报告等技术要求中要求的各种资格证书（如有则提供，复印件加盖投标供应商有效公章）；</w:t>
      </w:r>
    </w:p>
    <w:p>
      <w:pPr>
        <w:autoSpaceDE w:val="0"/>
        <w:autoSpaceDN w:val="0"/>
        <w:adjustRightInd w:val="0"/>
        <w:snapToGrid w:val="0"/>
        <w:spacing w:line="400" w:lineRule="exact"/>
        <w:ind w:firstLine="442" w:firstLineChars="200"/>
        <w:textAlignment w:val="bottom"/>
        <w:rPr>
          <w:rFonts w:hint="eastAsia"/>
          <w:color w:val="auto"/>
          <w:szCs w:val="22"/>
          <w:highlight w:val="none"/>
        </w:rPr>
      </w:pPr>
      <w:r>
        <w:rPr>
          <w:rFonts w:hint="eastAsia"/>
          <w:b/>
          <w:color w:val="auto"/>
          <w:szCs w:val="22"/>
          <w:highlight w:val="none"/>
        </w:rPr>
        <w:t>10）201</w:t>
      </w:r>
      <w:r>
        <w:rPr>
          <w:rFonts w:hint="eastAsia"/>
          <w:b/>
          <w:color w:val="auto"/>
          <w:szCs w:val="22"/>
          <w:highlight w:val="none"/>
          <w:lang w:val="en-US" w:eastAsia="zh-CN"/>
        </w:rPr>
        <w:t>8</w:t>
      </w:r>
      <w:r>
        <w:rPr>
          <w:rFonts w:hint="eastAsia"/>
          <w:b/>
          <w:color w:val="auto"/>
          <w:szCs w:val="22"/>
          <w:highlight w:val="none"/>
        </w:rPr>
        <w:t>年1月1日以来同类项目业绩（附件八）；</w:t>
      </w:r>
    </w:p>
    <w:p>
      <w:pPr>
        <w:autoSpaceDE w:val="0"/>
        <w:autoSpaceDN w:val="0"/>
        <w:adjustRightInd w:val="0"/>
        <w:snapToGrid w:val="0"/>
        <w:spacing w:line="400" w:lineRule="exact"/>
        <w:ind w:firstLine="440" w:firstLineChars="200"/>
        <w:textAlignment w:val="bottom"/>
        <w:rPr>
          <w:rFonts w:hint="eastAsia" w:ascii="宋体"/>
          <w:color w:val="auto"/>
          <w:szCs w:val="22"/>
          <w:highlight w:val="none"/>
        </w:rPr>
      </w:pPr>
      <w:r>
        <w:rPr>
          <w:rFonts w:hint="eastAsia"/>
          <w:color w:val="auto"/>
          <w:szCs w:val="22"/>
          <w:highlight w:val="none"/>
        </w:rPr>
        <w:t>11</w:t>
      </w:r>
      <w:r>
        <w:rPr>
          <w:rFonts w:hint="eastAsia"/>
          <w:b/>
          <w:color w:val="auto"/>
          <w:szCs w:val="22"/>
          <w:highlight w:val="none"/>
        </w:rPr>
        <w:t>）</w:t>
      </w:r>
      <w:r>
        <w:rPr>
          <w:rFonts w:hint="eastAsia" w:ascii="宋体"/>
          <w:color w:val="auto"/>
          <w:szCs w:val="22"/>
          <w:highlight w:val="none"/>
        </w:rPr>
        <w:t>节能环保产品声明函、</w:t>
      </w:r>
      <w:r>
        <w:rPr>
          <w:rFonts w:hint="eastAsia"/>
          <w:color w:val="auto"/>
          <w:szCs w:val="22"/>
          <w:highlight w:val="none"/>
        </w:rPr>
        <w:t>节能（环保）产品清单</w:t>
      </w:r>
      <w:r>
        <w:rPr>
          <w:rFonts w:hint="eastAsia" w:ascii="宋体"/>
          <w:color w:val="auto"/>
          <w:szCs w:val="22"/>
          <w:highlight w:val="none"/>
        </w:rPr>
        <w:t>（</w:t>
      </w:r>
      <w:r>
        <w:rPr>
          <w:rFonts w:hint="eastAsia"/>
          <w:color w:val="auto"/>
          <w:szCs w:val="22"/>
          <w:highlight w:val="none"/>
        </w:rPr>
        <w:t>如有则提供</w:t>
      </w:r>
      <w:r>
        <w:rPr>
          <w:rFonts w:hint="eastAsia" w:ascii="宋体"/>
          <w:color w:val="auto"/>
          <w:szCs w:val="22"/>
          <w:highlight w:val="none"/>
        </w:rPr>
        <w:t>）（附件九）</w:t>
      </w:r>
    </w:p>
    <w:p>
      <w:pPr>
        <w:autoSpaceDE w:val="0"/>
        <w:autoSpaceDN w:val="0"/>
        <w:adjustRightInd w:val="0"/>
        <w:snapToGrid w:val="0"/>
        <w:spacing w:line="400" w:lineRule="exact"/>
        <w:ind w:firstLine="440" w:firstLineChars="200"/>
        <w:textAlignment w:val="bottom"/>
        <w:rPr>
          <w:rFonts w:hint="eastAsia"/>
          <w:color w:val="auto"/>
          <w:szCs w:val="22"/>
          <w:highlight w:val="none"/>
        </w:rPr>
      </w:pPr>
      <w:r>
        <w:rPr>
          <w:rFonts w:hint="eastAsia"/>
          <w:color w:val="auto"/>
          <w:szCs w:val="22"/>
          <w:highlight w:val="none"/>
        </w:rPr>
        <w:t>12）供应商参与政府采购活动投标资格声明（见附件十）</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13）享受小微企业（含监狱企业、残疾人福利性单位）价格折扣须按供应商单位性质提供以下相关的证明材料（如有，须提供）：</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（1）通过浙江政府采购网申请注册加入政府采购供应商库（不包括公示期内，提供浙江省政府采购网页面截图或其它入库证明材料，加盖供应商公章）；</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（2）《中小企业声明函》（原件，加盖供应商公章，格式见招标文件第四部分）；</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（3）</w:t>
      </w:r>
      <w:r>
        <w:rPr>
          <w:color w:val="auto"/>
          <w:szCs w:val="22"/>
          <w:highlight w:val="none"/>
        </w:rPr>
        <w:t>监狱企业参加政府采购活动时，应当提供由省级以上监狱管理局、戒毒管理局(含新疆生产建设兵团)出具的属于监狱企业的证明文件</w:t>
      </w:r>
      <w:r>
        <w:rPr>
          <w:rFonts w:hint="eastAsia"/>
          <w:color w:val="auto"/>
          <w:szCs w:val="22"/>
          <w:highlight w:val="none"/>
        </w:rPr>
        <w:t>（原件或复印件加盖公章）</w:t>
      </w:r>
      <w:r>
        <w:rPr>
          <w:color w:val="auto"/>
          <w:szCs w:val="22"/>
          <w:highlight w:val="none"/>
        </w:rPr>
        <w:t>。在政府采购活动中，监狱企业视同小型、微型企业，享受评审中价格扣除政策</w:t>
      </w:r>
      <w:r>
        <w:rPr>
          <w:rFonts w:hint="eastAsia"/>
          <w:color w:val="auto"/>
          <w:szCs w:val="22"/>
          <w:highlight w:val="none"/>
        </w:rPr>
        <w:t>。</w:t>
      </w:r>
    </w:p>
    <w:p>
      <w:pPr>
        <w:autoSpaceDE w:val="0"/>
        <w:autoSpaceDN w:val="0"/>
        <w:adjustRightInd w:val="0"/>
        <w:snapToGrid w:val="0"/>
        <w:spacing w:line="400" w:lineRule="exact"/>
        <w:ind w:firstLine="440" w:firstLineChars="200"/>
        <w:textAlignment w:val="bottom"/>
        <w:rPr>
          <w:rFonts w:hint="eastAsia"/>
          <w:color w:val="auto"/>
          <w:szCs w:val="22"/>
          <w:highlight w:val="none"/>
        </w:rPr>
      </w:pPr>
      <w:r>
        <w:rPr>
          <w:rFonts w:hint="eastAsia"/>
          <w:color w:val="auto"/>
          <w:szCs w:val="22"/>
          <w:highlight w:val="none"/>
        </w:rPr>
        <w:t>（4）残疾人福利性单位声明函（原件，加盖供应商公章，格式见招标文件第四部分附件</w:t>
      </w:r>
      <w:r>
        <w:rPr>
          <w:color w:val="auto"/>
          <w:szCs w:val="22"/>
          <w:highlight w:val="none"/>
        </w:rPr>
        <w:t>3</w:t>
      </w:r>
      <w:r>
        <w:rPr>
          <w:rFonts w:hint="eastAsia"/>
          <w:color w:val="auto"/>
          <w:szCs w:val="22"/>
          <w:highlight w:val="none"/>
        </w:rPr>
        <w:t>）</w:t>
      </w:r>
      <w:r>
        <w:rPr>
          <w:color w:val="auto"/>
          <w:szCs w:val="22"/>
          <w:highlight w:val="none"/>
        </w:rPr>
        <w:t>在政府采购活动中，</w:t>
      </w:r>
      <w:r>
        <w:rPr>
          <w:rFonts w:hint="eastAsia"/>
          <w:color w:val="auto"/>
          <w:szCs w:val="22"/>
          <w:highlight w:val="none"/>
        </w:rPr>
        <w:t>残疾人福利性单位</w:t>
      </w:r>
      <w:r>
        <w:rPr>
          <w:color w:val="auto"/>
          <w:szCs w:val="22"/>
          <w:highlight w:val="none"/>
        </w:rPr>
        <w:t>视同小型、微型企业，享受评审中价格扣除政策</w:t>
      </w:r>
      <w:r>
        <w:rPr>
          <w:rFonts w:hint="eastAsia"/>
          <w:color w:val="auto"/>
          <w:szCs w:val="22"/>
          <w:highlight w:val="none"/>
        </w:rPr>
        <w:t>。</w:t>
      </w:r>
    </w:p>
    <w:p>
      <w:pPr>
        <w:autoSpaceDE w:val="0"/>
        <w:autoSpaceDN w:val="0"/>
        <w:adjustRightInd w:val="0"/>
        <w:snapToGrid w:val="0"/>
        <w:spacing w:line="400" w:lineRule="exact"/>
        <w:ind w:firstLine="442" w:firstLineChars="200"/>
        <w:textAlignment w:val="bottom"/>
        <w:rPr>
          <w:rFonts w:hint="eastAsia"/>
          <w:color w:val="auto"/>
          <w:szCs w:val="22"/>
          <w:highlight w:val="none"/>
        </w:rPr>
      </w:pPr>
      <w:r>
        <w:rPr>
          <w:rFonts w:hint="eastAsia"/>
          <w:b/>
          <w:color w:val="auto"/>
          <w:szCs w:val="22"/>
          <w:highlight w:val="none"/>
        </w:rPr>
        <w:t>14）质量服务承诺书、诚信投标承诺书、技术资信评分项索引表；</w:t>
      </w:r>
    </w:p>
    <w:p>
      <w:pPr>
        <w:autoSpaceDE w:val="0"/>
        <w:autoSpaceDN w:val="0"/>
        <w:adjustRightInd w:val="0"/>
        <w:snapToGrid w:val="0"/>
        <w:spacing w:line="400" w:lineRule="exact"/>
        <w:ind w:firstLine="440" w:firstLineChars="200"/>
        <w:textAlignment w:val="bottom"/>
        <w:rPr>
          <w:rFonts w:hint="eastAsia"/>
          <w:color w:val="auto"/>
          <w:szCs w:val="22"/>
          <w:highlight w:val="none"/>
        </w:rPr>
      </w:pPr>
      <w:r>
        <w:rPr>
          <w:rFonts w:hint="eastAsia"/>
          <w:color w:val="auto"/>
          <w:szCs w:val="22"/>
          <w:highlight w:val="none"/>
        </w:rPr>
        <w:t>15）根据招标文件中的采购内容与技术要求及评审办法等，需要提供的其它文件和资料；</w:t>
      </w:r>
    </w:p>
    <w:p>
      <w:pPr>
        <w:autoSpaceDE w:val="0"/>
        <w:autoSpaceDN w:val="0"/>
        <w:adjustRightInd w:val="0"/>
        <w:snapToGrid w:val="0"/>
        <w:spacing w:line="420" w:lineRule="exact"/>
        <w:ind w:firstLine="442" w:firstLineChars="200"/>
        <w:textAlignment w:val="bottom"/>
        <w:rPr>
          <w:rFonts w:hint="eastAsia"/>
          <w:b/>
          <w:color w:val="auto"/>
          <w:sz w:val="22"/>
          <w:szCs w:val="22"/>
          <w:highlight w:val="none"/>
        </w:rPr>
      </w:pPr>
      <w:r>
        <w:rPr>
          <w:rFonts w:hint="eastAsia"/>
          <w:b/>
          <w:color w:val="auto"/>
          <w:sz w:val="22"/>
          <w:szCs w:val="22"/>
          <w:highlight w:val="none"/>
        </w:rPr>
        <w:t>2.3、资格审核及其他原件资料部分（单独包装密封</w:t>
      </w:r>
      <w:r>
        <w:rPr>
          <w:rFonts w:hint="eastAsia"/>
          <w:b/>
          <w:bCs/>
          <w:color w:val="auto"/>
          <w:sz w:val="22"/>
          <w:szCs w:val="22"/>
          <w:highlight w:val="none"/>
        </w:rPr>
        <w:t>并内附清单一览表，格式自拟</w:t>
      </w:r>
      <w:r>
        <w:rPr>
          <w:rFonts w:hint="eastAsia"/>
          <w:b/>
          <w:color w:val="auto"/>
          <w:sz w:val="22"/>
          <w:szCs w:val="22"/>
          <w:highlight w:val="none"/>
        </w:rPr>
        <w:t>）：</w:t>
      </w:r>
    </w:p>
    <w:p>
      <w:pPr>
        <w:autoSpaceDE w:val="0"/>
        <w:autoSpaceDN w:val="0"/>
        <w:adjustRightInd w:val="0"/>
        <w:snapToGrid w:val="0"/>
        <w:spacing w:line="420" w:lineRule="exact"/>
        <w:ind w:firstLine="440" w:firstLineChars="200"/>
        <w:textAlignment w:val="bottom"/>
        <w:rPr>
          <w:color w:val="auto"/>
          <w:sz w:val="22"/>
          <w:szCs w:val="22"/>
          <w:highlight w:val="none"/>
        </w:rPr>
      </w:pPr>
      <w:r>
        <w:rPr>
          <w:rFonts w:hint="eastAsia"/>
          <w:color w:val="auto"/>
          <w:sz w:val="22"/>
          <w:szCs w:val="22"/>
          <w:highlight w:val="none"/>
        </w:rPr>
        <w:t>1）</w:t>
      </w:r>
      <w:r>
        <w:rPr>
          <w:color w:val="auto"/>
          <w:sz w:val="22"/>
          <w:szCs w:val="22"/>
          <w:highlight w:val="none"/>
        </w:rPr>
        <w:t>供应商营业执照</w:t>
      </w:r>
      <w:r>
        <w:rPr>
          <w:rFonts w:hint="eastAsia"/>
          <w:color w:val="auto"/>
          <w:sz w:val="22"/>
          <w:szCs w:val="22"/>
          <w:highlight w:val="none"/>
        </w:rPr>
        <w:t>；</w:t>
      </w:r>
      <w:r>
        <w:rPr>
          <w:color w:val="auto"/>
          <w:sz w:val="22"/>
          <w:szCs w:val="22"/>
          <w:highlight w:val="none"/>
        </w:rPr>
        <w:t xml:space="preserve"> </w:t>
      </w:r>
    </w:p>
    <w:p>
      <w:pPr>
        <w:autoSpaceDE w:val="0"/>
        <w:autoSpaceDN w:val="0"/>
        <w:adjustRightInd w:val="0"/>
        <w:snapToGrid w:val="0"/>
        <w:spacing w:line="420" w:lineRule="exact"/>
        <w:ind w:firstLine="440" w:firstLineChars="200"/>
        <w:textAlignment w:val="bottom"/>
        <w:rPr>
          <w:rFonts w:hint="eastAsia"/>
          <w:color w:val="auto"/>
          <w:sz w:val="22"/>
          <w:szCs w:val="22"/>
          <w:highlight w:val="none"/>
        </w:rPr>
      </w:pPr>
      <w:r>
        <w:rPr>
          <w:rFonts w:hint="eastAsia"/>
          <w:color w:val="auto"/>
          <w:sz w:val="22"/>
          <w:szCs w:val="22"/>
          <w:highlight w:val="none"/>
        </w:rPr>
        <w:t>2）法定代表人授权书原件；</w:t>
      </w:r>
    </w:p>
    <w:p>
      <w:pPr>
        <w:autoSpaceDE w:val="0"/>
        <w:autoSpaceDN w:val="0"/>
        <w:adjustRightInd w:val="0"/>
        <w:snapToGrid w:val="0"/>
        <w:spacing w:line="420" w:lineRule="exact"/>
        <w:ind w:firstLine="440" w:firstLineChars="200"/>
        <w:textAlignment w:val="bottom"/>
        <w:rPr>
          <w:rFonts w:hint="eastAsia"/>
          <w:color w:val="auto"/>
          <w:sz w:val="22"/>
          <w:szCs w:val="22"/>
          <w:highlight w:val="none"/>
        </w:rPr>
      </w:pPr>
      <w:r>
        <w:rPr>
          <w:rFonts w:hint="eastAsia"/>
          <w:color w:val="auto"/>
          <w:sz w:val="22"/>
          <w:szCs w:val="22"/>
          <w:highlight w:val="none"/>
        </w:rPr>
        <w:t>3）供应商认为需要的其他部分。</w:t>
      </w:r>
    </w:p>
    <w:p>
      <w:pPr>
        <w:autoSpaceDE w:val="0"/>
        <w:autoSpaceDN w:val="0"/>
        <w:adjustRightInd w:val="0"/>
        <w:snapToGrid w:val="0"/>
        <w:spacing w:line="420" w:lineRule="exact"/>
        <w:ind w:firstLine="442" w:firstLineChars="200"/>
        <w:textAlignment w:val="bottom"/>
        <w:rPr>
          <w:rFonts w:hint="eastAsia"/>
          <w:color w:val="auto"/>
          <w:highlight w:val="none"/>
        </w:rPr>
      </w:pPr>
      <w:r>
        <w:rPr>
          <w:rFonts w:hint="eastAsia"/>
          <w:b/>
          <w:bCs/>
          <w:color w:val="auto"/>
          <w:sz w:val="22"/>
          <w:szCs w:val="22"/>
          <w:highlight w:val="none"/>
          <w:u w:val="single"/>
        </w:rPr>
        <w:t>上述资料提供复印件的，须加盖公章并提供网上查询网址链接。</w:t>
      </w:r>
    </w:p>
    <w:p>
      <w:pPr>
        <w:autoSpaceDE w:val="0"/>
        <w:autoSpaceDN w:val="0"/>
        <w:adjustRightInd w:val="0"/>
        <w:snapToGrid w:val="0"/>
        <w:spacing w:line="420" w:lineRule="exact"/>
        <w:ind w:firstLine="440" w:firstLineChars="200"/>
        <w:textAlignment w:val="bottom"/>
        <w:rPr>
          <w:rFonts w:hint="eastAsia" w:ascii="宋体" w:hAnsi="宋体" w:cs="宋体"/>
          <w:color w:val="auto"/>
          <w:szCs w:val="22"/>
          <w:highlight w:val="none"/>
        </w:rPr>
      </w:pPr>
      <w:r>
        <w:rPr>
          <w:rFonts w:hint="eastAsia" w:ascii="宋体" w:hAnsi="宋体" w:cs="宋体"/>
          <w:color w:val="auto"/>
          <w:szCs w:val="22"/>
          <w:highlight w:val="none"/>
        </w:rPr>
        <w:t>3.投标内容填写说明</w:t>
      </w:r>
    </w:p>
    <w:p>
      <w:pPr>
        <w:autoSpaceDE w:val="0"/>
        <w:autoSpaceDN w:val="0"/>
        <w:adjustRightInd w:val="0"/>
        <w:snapToGrid w:val="0"/>
        <w:spacing w:line="420" w:lineRule="exact"/>
        <w:ind w:firstLine="440" w:firstLineChars="200"/>
        <w:textAlignment w:val="bottom"/>
        <w:rPr>
          <w:rFonts w:hint="eastAsia" w:ascii="宋体" w:hAnsi="宋体" w:cs="宋体"/>
          <w:color w:val="auto"/>
          <w:szCs w:val="22"/>
          <w:highlight w:val="none"/>
        </w:rPr>
      </w:pPr>
      <w:r>
        <w:rPr>
          <w:rFonts w:hint="eastAsia" w:ascii="宋体" w:hAnsi="宋体" w:cs="宋体"/>
          <w:color w:val="auto"/>
          <w:szCs w:val="22"/>
          <w:highlight w:val="none"/>
        </w:rPr>
        <w:t>3.1、投标文件格式</w:t>
      </w:r>
    </w:p>
    <w:p>
      <w:pPr>
        <w:autoSpaceDE w:val="0"/>
        <w:autoSpaceDN w:val="0"/>
        <w:adjustRightInd w:val="0"/>
        <w:snapToGrid w:val="0"/>
        <w:spacing w:line="420" w:lineRule="exact"/>
        <w:ind w:firstLine="440" w:firstLineChars="200"/>
        <w:textAlignment w:val="bottom"/>
        <w:rPr>
          <w:rFonts w:hint="eastAsia" w:ascii="宋体" w:hAnsi="宋体" w:cs="宋体"/>
          <w:color w:val="auto"/>
          <w:szCs w:val="22"/>
          <w:highlight w:val="none"/>
        </w:rPr>
      </w:pPr>
      <w:r>
        <w:rPr>
          <w:rFonts w:hint="eastAsia" w:ascii="宋体" w:hAnsi="宋体" w:cs="宋体"/>
          <w:color w:val="auto"/>
          <w:szCs w:val="22"/>
          <w:highlight w:val="none"/>
        </w:rPr>
        <w:t>供应商应按照按第三部分第四条第2款所列出的内容及格式</w:t>
      </w:r>
      <w:r>
        <w:rPr>
          <w:rFonts w:hint="eastAsia" w:ascii="宋体" w:hAnsi="宋体" w:cs="宋体"/>
          <w:bCs/>
          <w:color w:val="auto"/>
          <w:szCs w:val="22"/>
          <w:highlight w:val="none"/>
          <w:u w:val="thick"/>
        </w:rPr>
        <w:t>逐一按顺序</w:t>
      </w:r>
      <w:r>
        <w:rPr>
          <w:rFonts w:hint="eastAsia" w:ascii="宋体" w:hAnsi="宋体" w:cs="宋体"/>
          <w:color w:val="auto"/>
          <w:szCs w:val="22"/>
          <w:highlight w:val="none"/>
        </w:rPr>
        <w:t>组成投标文件并装订成册。</w:t>
      </w:r>
    </w:p>
    <w:p>
      <w:pPr>
        <w:autoSpaceDE w:val="0"/>
        <w:autoSpaceDN w:val="0"/>
        <w:adjustRightInd w:val="0"/>
        <w:snapToGrid w:val="0"/>
        <w:spacing w:line="420" w:lineRule="exact"/>
        <w:ind w:firstLine="440" w:firstLineChars="200"/>
        <w:textAlignment w:val="bottom"/>
        <w:rPr>
          <w:rFonts w:hint="eastAsia" w:ascii="宋体" w:hAnsi="宋体" w:cs="宋体"/>
          <w:color w:val="auto"/>
          <w:szCs w:val="22"/>
          <w:highlight w:val="none"/>
        </w:rPr>
      </w:pPr>
      <w:r>
        <w:rPr>
          <w:rFonts w:hint="eastAsia" w:ascii="宋体" w:hAnsi="宋体" w:cs="宋体"/>
          <w:color w:val="auto"/>
          <w:szCs w:val="22"/>
          <w:highlight w:val="none"/>
        </w:rPr>
        <w:t>3.2、开标一览表为在开标仪式上唱标的内容，供应商需按格式填写，统一规格，不得自行增减内容。</w:t>
      </w:r>
    </w:p>
    <w:p>
      <w:pPr>
        <w:autoSpaceDE w:val="0"/>
        <w:autoSpaceDN w:val="0"/>
        <w:adjustRightInd w:val="0"/>
        <w:snapToGrid w:val="0"/>
        <w:spacing w:line="420" w:lineRule="exact"/>
        <w:textAlignment w:val="bottom"/>
        <w:rPr>
          <w:rFonts w:hint="eastAsia" w:ascii="宋体" w:hAnsi="宋体" w:cs="宋体"/>
          <w:color w:val="auto"/>
          <w:szCs w:val="22"/>
          <w:highlight w:val="none"/>
        </w:rPr>
      </w:pPr>
      <w:r>
        <w:rPr>
          <w:rFonts w:hint="eastAsia" w:ascii="宋体" w:hAnsi="宋体" w:cs="宋体"/>
          <w:color w:val="auto"/>
          <w:szCs w:val="22"/>
          <w:highlight w:val="none"/>
        </w:rPr>
        <w:t xml:space="preserve">    </w:t>
      </w:r>
      <w:bookmarkStart w:id="6" w:name="_Toc132122115"/>
      <w:bookmarkStart w:id="7" w:name="_Toc132122412"/>
      <w:r>
        <w:rPr>
          <w:rFonts w:hint="eastAsia" w:ascii="宋体" w:hAnsi="宋体" w:cs="宋体"/>
          <w:color w:val="auto"/>
          <w:szCs w:val="22"/>
          <w:highlight w:val="none"/>
        </w:rPr>
        <w:t>4.投标报价</w:t>
      </w:r>
      <w:bookmarkEnd w:id="6"/>
      <w:bookmarkEnd w:id="7"/>
    </w:p>
    <w:p>
      <w:pPr>
        <w:autoSpaceDE w:val="0"/>
        <w:autoSpaceDN w:val="0"/>
        <w:adjustRightInd w:val="0"/>
        <w:spacing w:line="400" w:lineRule="exact"/>
        <w:ind w:firstLine="440" w:firstLineChars="200"/>
        <w:rPr>
          <w:rFonts w:hint="eastAsia" w:ascii="宋体" w:hAnsi="宋体" w:cs="宋体"/>
          <w:color w:val="auto"/>
          <w:szCs w:val="22"/>
          <w:highlight w:val="none"/>
          <w:lang w:val="zh-CN"/>
        </w:rPr>
      </w:pPr>
      <w:r>
        <w:rPr>
          <w:rFonts w:hint="eastAsia" w:ascii="宋体" w:hAnsi="宋体" w:cs="宋体"/>
          <w:color w:val="auto"/>
          <w:szCs w:val="22"/>
          <w:highlight w:val="none"/>
        </w:rPr>
        <w:t>4.1供应商应按招标文件中《开标一览表》填写投标价。</w:t>
      </w:r>
    </w:p>
    <w:p>
      <w:pPr>
        <w:autoSpaceDE w:val="0"/>
        <w:autoSpaceDN w:val="0"/>
        <w:adjustRightInd w:val="0"/>
        <w:snapToGrid w:val="0"/>
        <w:spacing w:line="420" w:lineRule="exact"/>
        <w:ind w:firstLine="440" w:firstLineChars="200"/>
        <w:textAlignment w:val="bottom"/>
        <w:rPr>
          <w:rFonts w:hint="eastAsia" w:ascii="宋体" w:hAnsi="宋体" w:cs="宋体"/>
          <w:color w:val="auto"/>
          <w:szCs w:val="22"/>
          <w:highlight w:val="none"/>
        </w:rPr>
      </w:pPr>
      <w:r>
        <w:rPr>
          <w:rFonts w:hint="eastAsia" w:ascii="宋体" w:hAnsi="宋体" w:cs="宋体"/>
          <w:color w:val="auto"/>
          <w:szCs w:val="22"/>
          <w:highlight w:val="none"/>
        </w:rPr>
        <w:t>4.3、本次招标只有一次投标报价的机会，投标报价为到货并送到最终用户安装调试验收合格后的全部费用。供应商应在各自技术和商务占优势的基础上并充分考虑本项目的重要性，提供对采购人最优惠的投标报价。</w:t>
      </w:r>
    </w:p>
    <w:p>
      <w:pPr>
        <w:autoSpaceDE w:val="0"/>
        <w:autoSpaceDN w:val="0"/>
        <w:adjustRightInd w:val="0"/>
        <w:snapToGrid w:val="0"/>
        <w:spacing w:line="420" w:lineRule="exact"/>
        <w:ind w:firstLine="440" w:firstLineChars="200"/>
        <w:textAlignment w:val="bottom"/>
        <w:rPr>
          <w:rFonts w:hint="eastAsia" w:ascii="宋体" w:hAnsi="宋体" w:cs="宋体"/>
          <w:color w:val="auto"/>
          <w:szCs w:val="22"/>
          <w:highlight w:val="none"/>
        </w:rPr>
      </w:pPr>
      <w:r>
        <w:rPr>
          <w:rFonts w:hint="eastAsia" w:ascii="宋体" w:hAnsi="宋体" w:cs="宋体"/>
          <w:color w:val="auto"/>
          <w:szCs w:val="22"/>
          <w:highlight w:val="none"/>
        </w:rPr>
        <w:t>4.4、投标报价应包含以下费用。</w:t>
      </w:r>
    </w:p>
    <w:p>
      <w:pPr>
        <w:numPr>
          <w:ilvl w:val="0"/>
          <w:numId w:val="11"/>
        </w:numPr>
        <w:tabs>
          <w:tab w:val="left" w:pos="1025"/>
        </w:tabs>
        <w:adjustRightInd w:val="0"/>
        <w:snapToGrid w:val="0"/>
        <w:spacing w:line="420" w:lineRule="exact"/>
        <w:ind w:left="660" w:leftChars="300" w:firstLine="0"/>
        <w:rPr>
          <w:rFonts w:hint="eastAsia" w:ascii="宋体" w:hAnsi="宋体" w:cs="宋体"/>
          <w:color w:val="auto"/>
          <w:szCs w:val="22"/>
          <w:highlight w:val="none"/>
        </w:rPr>
      </w:pPr>
      <w:r>
        <w:rPr>
          <w:rFonts w:hint="eastAsia" w:ascii="宋体" w:hAnsi="宋体" w:cs="宋体"/>
          <w:color w:val="auto"/>
          <w:szCs w:val="22"/>
          <w:highlight w:val="none"/>
        </w:rPr>
        <w:t>产品价格</w:t>
      </w:r>
    </w:p>
    <w:p>
      <w:pPr>
        <w:numPr>
          <w:ilvl w:val="0"/>
          <w:numId w:val="11"/>
        </w:numPr>
        <w:tabs>
          <w:tab w:val="left" w:pos="1025"/>
        </w:tabs>
        <w:adjustRightInd w:val="0"/>
        <w:snapToGrid w:val="0"/>
        <w:spacing w:line="420" w:lineRule="exact"/>
        <w:ind w:left="660" w:leftChars="300" w:firstLine="0"/>
        <w:rPr>
          <w:rFonts w:hint="eastAsia" w:ascii="宋体" w:hAnsi="宋体" w:cs="宋体"/>
          <w:color w:val="auto"/>
          <w:szCs w:val="22"/>
          <w:highlight w:val="none"/>
        </w:rPr>
      </w:pPr>
      <w:r>
        <w:rPr>
          <w:rFonts w:hint="eastAsia" w:ascii="宋体" w:hAnsi="宋体" w:cs="宋体"/>
          <w:color w:val="auto"/>
          <w:szCs w:val="22"/>
          <w:highlight w:val="none"/>
        </w:rPr>
        <w:t>增值税等其它税（包括商检等），须将税费及税率单列</w:t>
      </w:r>
    </w:p>
    <w:p>
      <w:pPr>
        <w:numPr>
          <w:ilvl w:val="0"/>
          <w:numId w:val="11"/>
        </w:numPr>
        <w:tabs>
          <w:tab w:val="left" w:pos="1025"/>
        </w:tabs>
        <w:adjustRightInd w:val="0"/>
        <w:snapToGrid w:val="0"/>
        <w:spacing w:line="420" w:lineRule="exact"/>
        <w:ind w:left="660" w:leftChars="300" w:firstLine="0"/>
        <w:rPr>
          <w:rFonts w:hint="eastAsia" w:ascii="宋体" w:hAnsi="宋体" w:cs="宋体"/>
          <w:color w:val="auto"/>
          <w:szCs w:val="22"/>
          <w:highlight w:val="none"/>
        </w:rPr>
      </w:pPr>
      <w:r>
        <w:rPr>
          <w:rFonts w:hint="eastAsia" w:ascii="宋体" w:hAnsi="宋体" w:cs="宋体"/>
          <w:color w:val="auto"/>
          <w:szCs w:val="22"/>
          <w:highlight w:val="none"/>
        </w:rPr>
        <w:t>随机特殊工具、随机配件、易损件费（计入产品价格，单列报价清单）</w:t>
      </w:r>
    </w:p>
    <w:p>
      <w:pPr>
        <w:numPr>
          <w:ilvl w:val="0"/>
          <w:numId w:val="11"/>
        </w:numPr>
        <w:tabs>
          <w:tab w:val="left" w:pos="1025"/>
        </w:tabs>
        <w:adjustRightInd w:val="0"/>
        <w:snapToGrid w:val="0"/>
        <w:spacing w:line="420" w:lineRule="exact"/>
        <w:ind w:left="660" w:leftChars="300" w:firstLine="0"/>
        <w:rPr>
          <w:rFonts w:hint="eastAsia" w:ascii="宋体" w:hAnsi="宋体" w:cs="宋体"/>
          <w:color w:val="auto"/>
          <w:szCs w:val="22"/>
          <w:highlight w:val="none"/>
        </w:rPr>
      </w:pPr>
      <w:r>
        <w:rPr>
          <w:rFonts w:hint="eastAsia" w:ascii="宋体" w:hAnsi="宋体" w:cs="宋体"/>
          <w:color w:val="auto"/>
          <w:szCs w:val="22"/>
          <w:highlight w:val="none"/>
        </w:rPr>
        <w:t>运杂费（包括产品到最终用户的装货、卸车、就位费等）</w:t>
      </w:r>
    </w:p>
    <w:p>
      <w:pPr>
        <w:numPr>
          <w:ilvl w:val="0"/>
          <w:numId w:val="11"/>
        </w:numPr>
        <w:tabs>
          <w:tab w:val="left" w:pos="1025"/>
        </w:tabs>
        <w:adjustRightInd w:val="0"/>
        <w:snapToGrid w:val="0"/>
        <w:spacing w:line="420" w:lineRule="exact"/>
        <w:ind w:left="660" w:leftChars="300" w:firstLine="0"/>
        <w:rPr>
          <w:rFonts w:hint="eastAsia" w:ascii="宋体" w:hAnsi="宋体" w:cs="宋体"/>
          <w:color w:val="auto"/>
          <w:szCs w:val="22"/>
          <w:highlight w:val="none"/>
        </w:rPr>
      </w:pPr>
      <w:r>
        <w:rPr>
          <w:rFonts w:hint="eastAsia" w:ascii="宋体" w:hAnsi="宋体" w:cs="宋体"/>
          <w:color w:val="auto"/>
          <w:szCs w:val="22"/>
          <w:highlight w:val="none"/>
        </w:rPr>
        <w:t>运输保险费（保险由供应商负责）</w:t>
      </w:r>
    </w:p>
    <w:p>
      <w:pPr>
        <w:numPr>
          <w:ilvl w:val="0"/>
          <w:numId w:val="11"/>
        </w:numPr>
        <w:tabs>
          <w:tab w:val="left" w:pos="1025"/>
        </w:tabs>
        <w:adjustRightInd w:val="0"/>
        <w:snapToGrid w:val="0"/>
        <w:spacing w:line="420" w:lineRule="exact"/>
        <w:ind w:left="660" w:leftChars="300" w:firstLine="0"/>
        <w:rPr>
          <w:rFonts w:hint="eastAsia" w:ascii="宋体" w:hAnsi="宋体" w:cs="宋体"/>
          <w:color w:val="auto"/>
          <w:szCs w:val="22"/>
          <w:highlight w:val="none"/>
        </w:rPr>
      </w:pPr>
      <w:r>
        <w:rPr>
          <w:rFonts w:hint="eastAsia" w:ascii="宋体" w:hAnsi="宋体" w:cs="宋体"/>
          <w:color w:val="auto"/>
          <w:szCs w:val="22"/>
          <w:highlight w:val="none"/>
        </w:rPr>
        <w:t>产品安装费、调试、检测及验收费（包括安装调试人员的食宿、交通等）</w:t>
      </w:r>
    </w:p>
    <w:p>
      <w:pPr>
        <w:numPr>
          <w:ilvl w:val="0"/>
          <w:numId w:val="11"/>
        </w:numPr>
        <w:tabs>
          <w:tab w:val="left" w:pos="1025"/>
        </w:tabs>
        <w:adjustRightInd w:val="0"/>
        <w:snapToGrid w:val="0"/>
        <w:spacing w:line="420" w:lineRule="exact"/>
        <w:ind w:left="660" w:leftChars="300" w:firstLine="0"/>
        <w:rPr>
          <w:rFonts w:hint="eastAsia" w:ascii="宋体" w:hAnsi="宋体" w:cs="宋体"/>
          <w:color w:val="auto"/>
          <w:szCs w:val="22"/>
          <w:highlight w:val="none"/>
        </w:rPr>
      </w:pPr>
      <w:r>
        <w:rPr>
          <w:rFonts w:hint="eastAsia" w:ascii="宋体" w:hAnsi="宋体" w:cs="宋体"/>
          <w:color w:val="auto"/>
          <w:szCs w:val="22"/>
          <w:highlight w:val="none"/>
        </w:rPr>
        <w:t>培训费及质量保证期服务</w:t>
      </w:r>
    </w:p>
    <w:p>
      <w:pPr>
        <w:numPr>
          <w:ilvl w:val="0"/>
          <w:numId w:val="11"/>
        </w:numPr>
        <w:tabs>
          <w:tab w:val="left" w:pos="1025"/>
        </w:tabs>
        <w:adjustRightInd w:val="0"/>
        <w:snapToGrid w:val="0"/>
        <w:spacing w:line="420" w:lineRule="exact"/>
        <w:ind w:left="660" w:leftChars="300" w:firstLine="0"/>
        <w:rPr>
          <w:rFonts w:hint="eastAsia" w:ascii="宋体" w:hAnsi="宋体" w:cs="宋体"/>
          <w:color w:val="auto"/>
          <w:szCs w:val="22"/>
          <w:highlight w:val="none"/>
        </w:rPr>
      </w:pPr>
      <w:r>
        <w:rPr>
          <w:rFonts w:hint="eastAsia" w:ascii="宋体" w:hAnsi="宋体" w:cs="宋体"/>
          <w:color w:val="auto"/>
          <w:szCs w:val="22"/>
          <w:highlight w:val="none"/>
        </w:rPr>
        <w:t>招标代理服务费</w:t>
      </w:r>
    </w:p>
    <w:p>
      <w:pPr>
        <w:numPr>
          <w:ilvl w:val="0"/>
          <w:numId w:val="11"/>
        </w:numPr>
        <w:tabs>
          <w:tab w:val="left" w:pos="1025"/>
        </w:tabs>
        <w:adjustRightInd w:val="0"/>
        <w:snapToGrid w:val="0"/>
        <w:spacing w:line="420" w:lineRule="exact"/>
        <w:ind w:left="660" w:leftChars="300" w:firstLine="0"/>
        <w:rPr>
          <w:rFonts w:hint="eastAsia" w:ascii="宋体" w:hAnsi="宋体" w:cs="宋体"/>
          <w:color w:val="auto"/>
          <w:szCs w:val="22"/>
          <w:highlight w:val="none"/>
        </w:rPr>
      </w:pPr>
      <w:r>
        <w:rPr>
          <w:rFonts w:hint="eastAsia" w:ascii="宋体" w:hAnsi="宋体" w:cs="宋体"/>
          <w:color w:val="auto"/>
          <w:szCs w:val="22"/>
          <w:highlight w:val="none"/>
        </w:rPr>
        <w:t>其他费用</w:t>
      </w:r>
    </w:p>
    <w:p>
      <w:pPr>
        <w:autoSpaceDE w:val="0"/>
        <w:autoSpaceDN w:val="0"/>
        <w:adjustRightInd w:val="0"/>
        <w:snapToGrid w:val="0"/>
        <w:spacing w:line="420" w:lineRule="exact"/>
        <w:textAlignment w:val="bottom"/>
        <w:rPr>
          <w:rFonts w:hint="eastAsia" w:ascii="宋体" w:hAnsi="宋体" w:cs="宋体"/>
          <w:color w:val="auto"/>
          <w:szCs w:val="22"/>
          <w:highlight w:val="none"/>
          <w:u w:val="single"/>
        </w:rPr>
      </w:pPr>
      <w:r>
        <w:rPr>
          <w:rFonts w:hint="eastAsia" w:ascii="宋体" w:hAnsi="宋体" w:cs="宋体"/>
          <w:color w:val="auto"/>
          <w:szCs w:val="22"/>
          <w:highlight w:val="none"/>
        </w:rPr>
        <w:t xml:space="preserve">    </w:t>
      </w:r>
      <w:r>
        <w:rPr>
          <w:rFonts w:hint="eastAsia" w:ascii="宋体" w:hAnsi="宋体" w:cs="宋体"/>
          <w:color w:val="auto"/>
          <w:szCs w:val="22"/>
          <w:highlight w:val="none"/>
          <w:u w:val="single"/>
        </w:rPr>
        <w:t>供应商在投标报价中应充分考虑所有可能发生的费用，否则采购人将视投标价格中已包括所有费用。</w:t>
      </w:r>
      <w:r>
        <w:rPr>
          <w:rFonts w:hint="eastAsia" w:ascii="宋体" w:hAnsi="宋体" w:cs="宋体"/>
          <w:b/>
          <w:color w:val="auto"/>
          <w:szCs w:val="22"/>
          <w:highlight w:val="none"/>
          <w:u w:val="single"/>
        </w:rPr>
        <w:t>▲</w:t>
      </w:r>
    </w:p>
    <w:p>
      <w:pPr>
        <w:autoSpaceDE w:val="0"/>
        <w:autoSpaceDN w:val="0"/>
        <w:adjustRightInd w:val="0"/>
        <w:snapToGrid w:val="0"/>
        <w:spacing w:line="420" w:lineRule="exact"/>
        <w:ind w:firstLine="440" w:firstLineChars="200"/>
        <w:textAlignment w:val="bottom"/>
        <w:rPr>
          <w:rFonts w:hint="eastAsia" w:ascii="宋体" w:hAnsi="宋体" w:cs="宋体"/>
          <w:color w:val="auto"/>
          <w:szCs w:val="22"/>
          <w:highlight w:val="none"/>
          <w:u w:val="single"/>
        </w:rPr>
      </w:pPr>
      <w:r>
        <w:rPr>
          <w:rFonts w:hint="eastAsia" w:ascii="宋体" w:hAnsi="宋体" w:cs="宋体"/>
          <w:color w:val="auto"/>
          <w:szCs w:val="22"/>
          <w:highlight w:val="none"/>
          <w:u w:val="single"/>
        </w:rPr>
        <w:t>供应商对在合同执行中，除上述费用及招标文件规定的由中标供应商负责的工作范围以外需要采购人协调或提供便利的工作应当在投标文件中说明</w:t>
      </w:r>
      <w:r>
        <w:rPr>
          <w:rFonts w:hint="eastAsia" w:ascii="宋体" w:hAnsi="宋体" w:cs="宋体"/>
          <w:color w:val="auto"/>
          <w:szCs w:val="22"/>
          <w:highlight w:val="none"/>
        </w:rPr>
        <w:t>。</w:t>
      </w:r>
    </w:p>
    <w:p>
      <w:pPr>
        <w:autoSpaceDE w:val="0"/>
        <w:autoSpaceDN w:val="0"/>
        <w:adjustRightInd w:val="0"/>
        <w:snapToGrid w:val="0"/>
        <w:spacing w:line="420" w:lineRule="exact"/>
        <w:ind w:firstLine="431" w:firstLineChars="196"/>
        <w:textAlignment w:val="bottom"/>
        <w:rPr>
          <w:rFonts w:hint="eastAsia" w:ascii="宋体" w:hAnsi="宋体" w:cs="宋体"/>
          <w:color w:val="auto"/>
          <w:szCs w:val="22"/>
          <w:highlight w:val="none"/>
          <w:lang w:val="zh-CN"/>
        </w:rPr>
      </w:pPr>
      <w:r>
        <w:rPr>
          <w:rFonts w:hint="eastAsia" w:ascii="宋体" w:hAnsi="宋体" w:cs="宋体"/>
          <w:bCs/>
          <w:color w:val="auto"/>
          <w:szCs w:val="22"/>
          <w:highlight w:val="none"/>
        </w:rPr>
        <w:t>填写报价表格时，各项费用应如实填写。</w:t>
      </w:r>
      <w:r>
        <w:rPr>
          <w:rFonts w:hint="eastAsia" w:ascii="宋体" w:hAnsi="宋体" w:cs="宋体"/>
          <w:color w:val="auto"/>
          <w:szCs w:val="22"/>
          <w:highlight w:val="none"/>
        </w:rPr>
        <w:t>采购人要求分类报价是为了方便评标，但在任何情况下不限制采购人以其认为最合适的条款签订合同的权利。</w:t>
      </w:r>
    </w:p>
    <w:p>
      <w:pPr>
        <w:autoSpaceDE w:val="0"/>
        <w:autoSpaceDN w:val="0"/>
        <w:adjustRightInd w:val="0"/>
        <w:snapToGrid w:val="0"/>
        <w:spacing w:line="420" w:lineRule="exact"/>
        <w:rPr>
          <w:rFonts w:hint="eastAsia" w:ascii="宋体" w:hAnsi="宋体" w:cs="宋体"/>
          <w:color w:val="auto"/>
          <w:szCs w:val="22"/>
          <w:highlight w:val="none"/>
          <w:lang w:val="zh-CN"/>
        </w:rPr>
      </w:pPr>
      <w:r>
        <w:rPr>
          <w:rFonts w:hint="eastAsia" w:ascii="宋体" w:hAnsi="宋体" w:cs="宋体"/>
          <w:color w:val="auto"/>
          <w:szCs w:val="22"/>
          <w:highlight w:val="none"/>
          <w:lang w:val="zh-CN"/>
        </w:rPr>
        <w:t xml:space="preserve">    </w:t>
      </w:r>
      <w:r>
        <w:rPr>
          <w:rFonts w:hint="eastAsia" w:ascii="宋体" w:hAnsi="宋体" w:cs="宋体"/>
          <w:color w:val="auto"/>
          <w:szCs w:val="22"/>
          <w:highlight w:val="none"/>
        </w:rPr>
        <w:t>5</w:t>
      </w:r>
      <w:r>
        <w:rPr>
          <w:rFonts w:hint="eastAsia" w:ascii="宋体" w:hAnsi="宋体" w:cs="宋体"/>
          <w:color w:val="auto"/>
          <w:szCs w:val="22"/>
          <w:highlight w:val="none"/>
          <w:lang w:val="zh-CN"/>
        </w:rPr>
        <w:t>.投标</w:t>
      </w:r>
    </w:p>
    <w:p>
      <w:pPr>
        <w:autoSpaceDE w:val="0"/>
        <w:autoSpaceDN w:val="0"/>
        <w:adjustRightInd w:val="0"/>
        <w:snapToGrid w:val="0"/>
        <w:spacing w:line="420" w:lineRule="exact"/>
        <w:rPr>
          <w:rFonts w:hint="eastAsia" w:ascii="宋体" w:hAnsi="宋体" w:cs="宋体"/>
          <w:color w:val="auto"/>
          <w:szCs w:val="22"/>
          <w:highlight w:val="none"/>
          <w:lang w:val="zh-CN"/>
        </w:rPr>
      </w:pPr>
      <w:r>
        <w:rPr>
          <w:rFonts w:hint="eastAsia" w:ascii="宋体" w:hAnsi="宋体" w:cs="宋体"/>
          <w:color w:val="auto"/>
          <w:szCs w:val="22"/>
          <w:highlight w:val="none"/>
          <w:lang w:val="zh-CN"/>
        </w:rPr>
        <w:t xml:space="preserve">   </w:t>
      </w:r>
      <w:r>
        <w:rPr>
          <w:rFonts w:hint="eastAsia" w:ascii="宋体" w:hAnsi="宋体" w:cs="宋体"/>
          <w:color w:val="auto"/>
          <w:szCs w:val="22"/>
          <w:highlight w:val="none"/>
        </w:rPr>
        <w:t>5</w:t>
      </w:r>
      <w:r>
        <w:rPr>
          <w:rFonts w:hint="eastAsia" w:ascii="宋体" w:hAnsi="宋体" w:cs="宋体"/>
          <w:color w:val="auto"/>
          <w:szCs w:val="22"/>
          <w:highlight w:val="none"/>
          <w:lang w:val="zh-CN"/>
        </w:rPr>
        <w:t>.1投标要求</w:t>
      </w:r>
    </w:p>
    <w:p>
      <w:pPr>
        <w:autoSpaceDE w:val="0"/>
        <w:autoSpaceDN w:val="0"/>
        <w:adjustRightInd w:val="0"/>
        <w:snapToGrid w:val="0"/>
        <w:spacing w:line="400" w:lineRule="exact"/>
        <w:ind w:firstLine="440" w:firstLineChars="200"/>
        <w:rPr>
          <w:rFonts w:hint="eastAsia" w:ascii="宋体" w:hAnsi="宋体" w:cs="宋体"/>
          <w:color w:val="auto"/>
          <w:szCs w:val="22"/>
          <w:highlight w:val="none"/>
          <w:lang w:val="zh-CN"/>
        </w:rPr>
      </w:pPr>
      <w:r>
        <w:rPr>
          <w:rFonts w:hint="eastAsia" w:ascii="宋体" w:hAnsi="宋体" w:cs="宋体"/>
          <w:bCs/>
          <w:color w:val="auto"/>
          <w:szCs w:val="22"/>
          <w:highlight w:val="none"/>
          <w:lang w:val="zh-CN"/>
        </w:rPr>
        <w:t>供应商根据招标文件的要求，服务所需的全部费用包含在总价之中。供应商的《开标一览表》应按招标文件要求的格式编制，凡未按招标文件要求编制的投标文件将可能被拒绝。</w:t>
      </w:r>
    </w:p>
    <w:p>
      <w:pPr>
        <w:autoSpaceDE w:val="0"/>
        <w:autoSpaceDN w:val="0"/>
        <w:adjustRightInd w:val="0"/>
        <w:snapToGrid w:val="0"/>
        <w:spacing w:line="400" w:lineRule="exact"/>
        <w:textAlignment w:val="bottom"/>
        <w:rPr>
          <w:rFonts w:hint="eastAsia" w:ascii="宋体" w:hAnsi="宋体" w:cs="宋体"/>
          <w:color w:val="auto"/>
          <w:szCs w:val="22"/>
          <w:highlight w:val="none"/>
        </w:rPr>
      </w:pPr>
      <w:bookmarkStart w:id="8" w:name="_Toc132122413"/>
      <w:bookmarkStart w:id="9" w:name="_Toc132122116"/>
      <w:r>
        <w:rPr>
          <w:rFonts w:hint="eastAsia" w:ascii="宋体" w:hAnsi="宋体" w:cs="宋体"/>
          <w:color w:val="auto"/>
          <w:szCs w:val="22"/>
          <w:highlight w:val="none"/>
        </w:rPr>
        <w:t xml:space="preserve"> 6、投标保证金</w:t>
      </w:r>
      <w:bookmarkEnd w:id="8"/>
      <w:bookmarkEnd w:id="9"/>
    </w:p>
    <w:p>
      <w:pPr>
        <w:adjustRightInd w:val="0"/>
        <w:snapToGrid w:val="0"/>
        <w:spacing w:line="400" w:lineRule="exact"/>
        <w:ind w:firstLine="330" w:firstLineChars="150"/>
        <w:rPr>
          <w:rFonts w:hint="eastAsia" w:ascii="宋体" w:hAnsi="宋体" w:cs="宋体"/>
          <w:color w:val="auto"/>
          <w:szCs w:val="22"/>
          <w:highlight w:val="none"/>
        </w:rPr>
      </w:pPr>
      <w:r>
        <w:rPr>
          <w:rFonts w:hint="eastAsia" w:ascii="宋体" w:hAnsi="宋体" w:cs="宋体"/>
          <w:color w:val="auto"/>
          <w:szCs w:val="22"/>
          <w:highlight w:val="none"/>
        </w:rPr>
        <w:t xml:space="preserve"> 6.1供应商须按投标通知书要求提供投标保证金，否则采购人将拒绝接受其投标文件。</w:t>
      </w:r>
    </w:p>
    <w:p>
      <w:pPr>
        <w:autoSpaceDE w:val="0"/>
        <w:autoSpaceDN w:val="0"/>
        <w:adjustRightInd w:val="0"/>
        <w:snapToGrid w:val="0"/>
        <w:spacing w:line="400" w:lineRule="exact"/>
        <w:ind w:firstLine="440" w:firstLineChars="200"/>
        <w:textAlignment w:val="bottom"/>
        <w:rPr>
          <w:rFonts w:hint="eastAsia" w:ascii="宋体" w:hAnsi="宋体" w:cs="宋体"/>
          <w:color w:val="auto"/>
          <w:szCs w:val="22"/>
          <w:highlight w:val="none"/>
        </w:rPr>
      </w:pPr>
      <w:r>
        <w:rPr>
          <w:rFonts w:hint="eastAsia" w:ascii="宋体" w:hAnsi="宋体" w:cs="宋体"/>
          <w:color w:val="auto"/>
          <w:szCs w:val="22"/>
          <w:highlight w:val="none"/>
        </w:rPr>
        <w:t>6.2中标供应商的投标保证金在中标供应商与采购人签订了合同且一份合同原件给平阳县公共资源交易中心采购科备案后5个工作日内凭投标保证金收据退还。未中标供应商的投标保证金将在确定中标供应商发出中标通知书后5个工作日内凭投标保证金收据退还。</w:t>
      </w:r>
    </w:p>
    <w:p>
      <w:pPr>
        <w:autoSpaceDE w:val="0"/>
        <w:autoSpaceDN w:val="0"/>
        <w:adjustRightInd w:val="0"/>
        <w:snapToGrid w:val="0"/>
        <w:spacing w:line="400" w:lineRule="exact"/>
        <w:ind w:firstLine="440" w:firstLineChars="200"/>
        <w:textAlignment w:val="bottom"/>
        <w:rPr>
          <w:rFonts w:hint="eastAsia" w:ascii="宋体" w:hAnsi="宋体" w:cs="宋体"/>
          <w:color w:val="auto"/>
          <w:szCs w:val="22"/>
          <w:highlight w:val="none"/>
        </w:rPr>
      </w:pPr>
      <w:r>
        <w:rPr>
          <w:rFonts w:hint="eastAsia" w:ascii="宋体" w:hAnsi="宋体" w:cs="宋体"/>
          <w:color w:val="auto"/>
          <w:szCs w:val="22"/>
          <w:highlight w:val="none"/>
        </w:rPr>
        <w:t>6.3发生下列情况之一，投标保证金将不予退还并转至采购人指定的账户。</w:t>
      </w:r>
    </w:p>
    <w:p>
      <w:pPr>
        <w:autoSpaceDE w:val="0"/>
        <w:autoSpaceDN w:val="0"/>
        <w:adjustRightInd w:val="0"/>
        <w:snapToGrid w:val="0"/>
        <w:spacing w:line="400" w:lineRule="exact"/>
        <w:ind w:firstLine="440" w:firstLineChars="200"/>
        <w:textAlignment w:val="bottom"/>
        <w:rPr>
          <w:rFonts w:hint="eastAsia" w:ascii="宋体" w:hAnsi="宋体" w:cs="宋体"/>
          <w:color w:val="auto"/>
          <w:szCs w:val="22"/>
          <w:highlight w:val="none"/>
        </w:rPr>
      </w:pPr>
      <w:r>
        <w:rPr>
          <w:rFonts w:hint="eastAsia" w:ascii="宋体" w:hAnsi="宋体" w:cs="宋体"/>
          <w:color w:val="auto"/>
          <w:szCs w:val="22"/>
          <w:highlight w:val="none"/>
        </w:rPr>
        <w:t>1）供应商在投标有效期内撤回投标文件。</w:t>
      </w:r>
    </w:p>
    <w:p>
      <w:pPr>
        <w:autoSpaceDE w:val="0"/>
        <w:autoSpaceDN w:val="0"/>
        <w:adjustRightInd w:val="0"/>
        <w:snapToGrid w:val="0"/>
        <w:spacing w:line="400" w:lineRule="exact"/>
        <w:textAlignment w:val="bottom"/>
        <w:rPr>
          <w:rFonts w:hint="eastAsia" w:ascii="宋体" w:hAnsi="宋体" w:cs="宋体"/>
          <w:color w:val="auto"/>
          <w:szCs w:val="22"/>
          <w:highlight w:val="none"/>
        </w:rPr>
      </w:pPr>
      <w:r>
        <w:rPr>
          <w:rFonts w:hint="eastAsia" w:ascii="宋体" w:hAnsi="宋体" w:cs="宋体"/>
          <w:color w:val="auto"/>
          <w:szCs w:val="22"/>
          <w:highlight w:val="none"/>
        </w:rPr>
        <w:t xml:space="preserve">    2）中标供应商未按中标通知书中规定的时间、地点与采购人签订合同。</w:t>
      </w:r>
    </w:p>
    <w:p>
      <w:pPr>
        <w:autoSpaceDE w:val="0"/>
        <w:autoSpaceDN w:val="0"/>
        <w:adjustRightInd w:val="0"/>
        <w:snapToGrid w:val="0"/>
        <w:spacing w:line="400" w:lineRule="exact"/>
        <w:ind w:firstLine="440" w:firstLineChars="200"/>
        <w:textAlignment w:val="bottom"/>
        <w:rPr>
          <w:rFonts w:hint="eastAsia" w:ascii="宋体" w:hAnsi="宋体" w:cs="宋体"/>
          <w:color w:val="auto"/>
          <w:szCs w:val="22"/>
          <w:highlight w:val="none"/>
        </w:rPr>
      </w:pPr>
      <w:r>
        <w:rPr>
          <w:rFonts w:hint="eastAsia" w:ascii="宋体" w:hAnsi="宋体" w:cs="宋体"/>
          <w:color w:val="auto"/>
          <w:szCs w:val="22"/>
          <w:highlight w:val="none"/>
        </w:rPr>
        <w:t>3）未按规定提供履约保证金。</w:t>
      </w:r>
    </w:p>
    <w:p>
      <w:pPr>
        <w:autoSpaceDE w:val="0"/>
        <w:autoSpaceDN w:val="0"/>
        <w:adjustRightInd w:val="0"/>
        <w:snapToGrid w:val="0"/>
        <w:spacing w:line="400" w:lineRule="exact"/>
        <w:ind w:firstLine="440" w:firstLineChars="200"/>
        <w:textAlignment w:val="bottom"/>
        <w:rPr>
          <w:rFonts w:hint="eastAsia" w:ascii="宋体" w:hAnsi="宋体" w:cs="宋体"/>
          <w:color w:val="auto"/>
          <w:szCs w:val="22"/>
          <w:highlight w:val="none"/>
        </w:rPr>
      </w:pPr>
      <w:r>
        <w:rPr>
          <w:rFonts w:hint="eastAsia" w:ascii="宋体" w:hAnsi="宋体" w:cs="宋体"/>
          <w:color w:val="auto"/>
          <w:szCs w:val="22"/>
          <w:highlight w:val="none"/>
        </w:rPr>
        <w:t>4）弄虚作假提供虚假资料谋取中标的及其他违反法律法规规定的。</w:t>
      </w:r>
    </w:p>
    <w:p>
      <w:pPr>
        <w:pStyle w:val="24"/>
        <w:adjustRightInd w:val="0"/>
        <w:snapToGrid w:val="0"/>
        <w:spacing w:line="400" w:lineRule="exact"/>
        <w:ind w:firstLine="440" w:firstLineChars="200"/>
        <w:rPr>
          <w:rFonts w:hint="eastAsia" w:hAnsi="宋体" w:cs="宋体"/>
          <w:color w:val="auto"/>
          <w:sz w:val="22"/>
          <w:szCs w:val="22"/>
          <w:highlight w:val="none"/>
        </w:rPr>
      </w:pPr>
      <w:bookmarkStart w:id="10" w:name="_Toc132122414"/>
      <w:bookmarkStart w:id="11" w:name="_Toc132122117"/>
      <w:r>
        <w:rPr>
          <w:rFonts w:hint="eastAsia" w:hAnsi="宋体" w:cs="宋体"/>
          <w:color w:val="auto"/>
          <w:sz w:val="22"/>
          <w:szCs w:val="22"/>
          <w:highlight w:val="none"/>
        </w:rPr>
        <w:t>7、投标文件的有效期</w:t>
      </w:r>
      <w:bookmarkEnd w:id="10"/>
      <w:bookmarkEnd w:id="11"/>
    </w:p>
    <w:p>
      <w:pPr>
        <w:pStyle w:val="24"/>
        <w:adjustRightInd w:val="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7.1自开标日起90天内，投标文件应保持有效。有效期短于这个规定期限的投标将被拒绝。</w:t>
      </w:r>
    </w:p>
    <w:p>
      <w:pPr>
        <w:pStyle w:val="24"/>
        <w:adjustRightInd w:val="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7.2在特殊情况下，采购人可与供应商协商延长投标文件的有效期，这种要求和答复均应以书面形式进行。</w:t>
      </w:r>
    </w:p>
    <w:p>
      <w:pPr>
        <w:pStyle w:val="24"/>
        <w:adjustRightInd w:val="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7.3供应商可拒绝接受延期要求而不会导致投标保证金被没收。同意延长有效期的供应商不能修改投标文件。</w:t>
      </w:r>
    </w:p>
    <w:p>
      <w:pPr>
        <w:pStyle w:val="24"/>
        <w:adjustRightInd w:val="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7.4当正本与副本不一致时，均以正本为准。当供应商投标文件未注明正本与副本且出现不一致时，评标委员会可以认定供应商出现选择性投标而对其投标予以废标。</w:t>
      </w:r>
    </w:p>
    <w:p>
      <w:pPr>
        <w:pStyle w:val="24"/>
        <w:adjustRightInd w:val="0"/>
        <w:snapToGrid w:val="0"/>
        <w:spacing w:line="400" w:lineRule="exact"/>
        <w:outlineLvl w:val="0"/>
        <w:rPr>
          <w:rFonts w:hint="eastAsia" w:hAnsi="宋体" w:cs="宋体"/>
          <w:color w:val="auto"/>
          <w:sz w:val="22"/>
          <w:szCs w:val="22"/>
          <w:highlight w:val="none"/>
        </w:rPr>
      </w:pPr>
      <w:r>
        <w:rPr>
          <w:rFonts w:hint="eastAsia" w:hAnsi="宋体" w:cs="宋体"/>
          <w:color w:val="auto"/>
          <w:sz w:val="22"/>
          <w:szCs w:val="22"/>
          <w:highlight w:val="none"/>
        </w:rPr>
        <w:t xml:space="preserve">    </w:t>
      </w:r>
      <w:bookmarkStart w:id="12" w:name="_Toc132122415"/>
      <w:bookmarkStart w:id="13" w:name="_Toc132122118"/>
      <w:r>
        <w:rPr>
          <w:rFonts w:hint="eastAsia" w:hAnsi="宋体" w:cs="宋体"/>
          <w:color w:val="auto"/>
          <w:sz w:val="22"/>
          <w:szCs w:val="22"/>
          <w:highlight w:val="none"/>
        </w:rPr>
        <w:t>8、投标文件的签署和份数</w:t>
      </w:r>
      <w:bookmarkEnd w:id="12"/>
      <w:bookmarkEnd w:id="13"/>
    </w:p>
    <w:p>
      <w:pPr>
        <w:pStyle w:val="24"/>
        <w:adjustRightInd w:val="0"/>
        <w:snapToGrid w:val="0"/>
        <w:spacing w:line="400" w:lineRule="exact"/>
        <w:ind w:firstLine="480"/>
        <w:rPr>
          <w:rFonts w:hint="eastAsia" w:hAnsi="宋体" w:cs="宋体"/>
          <w:color w:val="auto"/>
          <w:sz w:val="22"/>
          <w:szCs w:val="22"/>
          <w:highlight w:val="none"/>
        </w:rPr>
      </w:pPr>
      <w:r>
        <w:rPr>
          <w:rFonts w:hint="eastAsia" w:hAnsi="宋体" w:cs="宋体"/>
          <w:color w:val="auto"/>
          <w:sz w:val="22"/>
          <w:szCs w:val="22"/>
          <w:highlight w:val="none"/>
        </w:rPr>
        <w:t>8.1投标文件的正本需打印或用不退色的墨水填写，并注明“正本”字样。副本可以复印。投标文件不得涂改和增删，如有错漏必须修改，修改处须由同一签署人签字或盖章。由于字迹模糊或表达不清引起的后果由供应商负责。</w:t>
      </w:r>
    </w:p>
    <w:p>
      <w:pPr>
        <w:pStyle w:val="24"/>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 xml:space="preserve">    8.2投标文件须由供应商盖章并由法定代表人或法定代表人授权代表签署，供应商应写全称。</w:t>
      </w:r>
    </w:p>
    <w:p>
      <w:pPr>
        <w:pStyle w:val="24"/>
        <w:adjustRightInd w:val="0"/>
        <w:snapToGrid w:val="0"/>
        <w:spacing w:line="400" w:lineRule="exact"/>
        <w:ind w:firstLine="480"/>
        <w:rPr>
          <w:rFonts w:hint="eastAsia" w:hAnsi="宋体" w:cs="宋体"/>
          <w:color w:val="auto"/>
          <w:szCs w:val="22"/>
          <w:highlight w:val="none"/>
        </w:rPr>
      </w:pPr>
      <w:r>
        <w:rPr>
          <w:rFonts w:hint="eastAsia" w:hAnsi="宋体" w:cs="宋体"/>
          <w:b/>
          <w:color w:val="auto"/>
          <w:szCs w:val="22"/>
          <w:highlight w:val="none"/>
          <w:u w:val="single"/>
        </w:rPr>
        <w:t>8.3</w:t>
      </w:r>
      <w:r>
        <w:rPr>
          <w:rFonts w:hint="eastAsia" w:hAnsi="宋体" w:cs="Arial"/>
          <w:b/>
          <w:color w:val="auto"/>
          <w:sz w:val="22"/>
          <w:szCs w:val="22"/>
          <w:highlight w:val="none"/>
          <w:u w:val="single"/>
        </w:rPr>
        <w:t>投标文件的份数：按招标文件第三部分第四条第2款要求提供的各种文件，商务报价部分投标文件、技术资信部分投标文件均提供一式七份，其中正本一份，副本六份。(商务报价部分投标文件、技术资信部分投标文件、资格审核</w:t>
      </w:r>
      <w:r>
        <w:rPr>
          <w:rFonts w:hint="eastAsia"/>
          <w:b/>
          <w:color w:val="auto"/>
          <w:sz w:val="22"/>
          <w:szCs w:val="22"/>
          <w:highlight w:val="none"/>
          <w:u w:val="single"/>
        </w:rPr>
        <w:t>及其他原件</w:t>
      </w:r>
      <w:r>
        <w:rPr>
          <w:rFonts w:hint="eastAsia" w:hAnsi="宋体" w:cs="Arial"/>
          <w:b/>
          <w:color w:val="auto"/>
          <w:sz w:val="22"/>
          <w:szCs w:val="22"/>
          <w:highlight w:val="none"/>
          <w:u w:val="single"/>
        </w:rPr>
        <w:t>资料部分均分开装订，分别</w:t>
      </w:r>
      <w:r>
        <w:rPr>
          <w:rFonts w:hint="eastAsia" w:hAnsi="宋体"/>
          <w:b/>
          <w:color w:val="auto"/>
          <w:sz w:val="22"/>
          <w:szCs w:val="22"/>
          <w:highlight w:val="none"/>
          <w:u w:val="single"/>
        </w:rPr>
        <w:t>密封</w:t>
      </w:r>
      <w:r>
        <w:rPr>
          <w:rFonts w:hint="eastAsia" w:hAnsi="宋体" w:cs="Arial"/>
          <w:b/>
          <w:color w:val="auto"/>
          <w:sz w:val="22"/>
          <w:szCs w:val="22"/>
          <w:highlight w:val="none"/>
          <w:u w:val="single"/>
        </w:rPr>
        <w:t>)</w:t>
      </w:r>
      <w:r>
        <w:rPr>
          <w:rFonts w:hint="eastAsia" w:hAnsi="宋体"/>
          <w:b/>
          <w:color w:val="auto"/>
          <w:sz w:val="22"/>
          <w:szCs w:val="22"/>
          <w:highlight w:val="none"/>
          <w:u w:val="single"/>
        </w:rPr>
        <w:t>。</w:t>
      </w:r>
      <w:r>
        <w:rPr>
          <w:rFonts w:hint="eastAsia" w:hAnsi="宋体" w:cs="Arial"/>
          <w:bCs/>
          <w:color w:val="auto"/>
          <w:sz w:val="22"/>
          <w:szCs w:val="22"/>
          <w:highlight w:val="none"/>
        </w:rPr>
        <w:t xml:space="preserve"> </w:t>
      </w:r>
      <w:r>
        <w:rPr>
          <w:rFonts w:hint="eastAsia" w:hAnsi="宋体" w:cs="Arial"/>
          <w:bCs/>
          <w:color w:val="auto"/>
          <w:sz w:val="24"/>
          <w:highlight w:val="none"/>
        </w:rPr>
        <w:t xml:space="preserve"> </w:t>
      </w:r>
    </w:p>
    <w:p>
      <w:pPr>
        <w:snapToGrid w:val="0"/>
        <w:spacing w:line="420" w:lineRule="exact"/>
        <w:ind w:firstLine="527"/>
        <w:outlineLvl w:val="0"/>
        <w:rPr>
          <w:rFonts w:hint="eastAsia" w:ascii="宋体" w:hAnsi="宋体" w:cs="宋体"/>
          <w:b/>
          <w:color w:val="auto"/>
          <w:szCs w:val="22"/>
          <w:highlight w:val="none"/>
        </w:rPr>
      </w:pPr>
      <w:r>
        <w:rPr>
          <w:rFonts w:hint="eastAsia" w:ascii="宋体" w:hAnsi="宋体" w:cs="宋体"/>
          <w:b/>
          <w:color w:val="auto"/>
          <w:szCs w:val="22"/>
          <w:highlight w:val="none"/>
        </w:rPr>
        <w:t>五、投标文件的密封与递交</w:t>
      </w:r>
    </w:p>
    <w:p>
      <w:pPr>
        <w:snapToGrid w:val="0"/>
        <w:spacing w:line="420" w:lineRule="exact"/>
        <w:ind w:firstLine="527"/>
        <w:rPr>
          <w:rFonts w:hint="eastAsia" w:ascii="宋体" w:hAnsi="宋体" w:cs="宋体"/>
          <w:b/>
          <w:color w:val="auto"/>
          <w:szCs w:val="22"/>
          <w:highlight w:val="none"/>
        </w:rPr>
      </w:pPr>
      <w:r>
        <w:rPr>
          <w:rFonts w:hint="eastAsia" w:ascii="宋体" w:hAnsi="宋体" w:cs="宋体"/>
          <w:b/>
          <w:color w:val="auto"/>
          <w:szCs w:val="22"/>
          <w:highlight w:val="none"/>
        </w:rPr>
        <w:t>1、投标文件的密封及标记</w:t>
      </w:r>
    </w:p>
    <w:p>
      <w:pPr>
        <w:snapToGrid w:val="0"/>
        <w:spacing w:line="420" w:lineRule="exact"/>
        <w:ind w:firstLine="527"/>
        <w:rPr>
          <w:rFonts w:hint="eastAsia" w:ascii="宋体" w:hAnsi="宋体" w:cs="宋体"/>
          <w:b/>
          <w:color w:val="auto"/>
          <w:szCs w:val="22"/>
          <w:highlight w:val="none"/>
        </w:rPr>
      </w:pPr>
      <w:r>
        <w:rPr>
          <w:rFonts w:hint="eastAsia" w:ascii="宋体" w:hAnsi="宋体" w:cs="宋体"/>
          <w:b/>
          <w:color w:val="auto"/>
          <w:szCs w:val="22"/>
          <w:highlight w:val="none"/>
        </w:rPr>
        <w:t>1.1投标文件应按以下方法装袋密封</w:t>
      </w:r>
    </w:p>
    <w:p>
      <w:pPr>
        <w:snapToGrid w:val="0"/>
        <w:spacing w:line="420" w:lineRule="exact"/>
        <w:ind w:firstLine="527"/>
        <w:rPr>
          <w:rFonts w:hint="eastAsia" w:cs="Arial"/>
          <w:color w:val="auto"/>
          <w:sz w:val="22"/>
          <w:szCs w:val="22"/>
          <w:highlight w:val="none"/>
        </w:rPr>
      </w:pPr>
      <w:r>
        <w:rPr>
          <w:rFonts w:hint="eastAsia"/>
          <w:b/>
          <w:color w:val="auto"/>
          <w:sz w:val="22"/>
          <w:szCs w:val="22"/>
          <w:highlight w:val="none"/>
          <w:u w:val="single"/>
        </w:rPr>
        <w:t>▲</w:t>
      </w:r>
      <w:r>
        <w:rPr>
          <w:rFonts w:hint="eastAsia"/>
          <w:color w:val="auto"/>
          <w:sz w:val="22"/>
          <w:szCs w:val="22"/>
          <w:highlight w:val="none"/>
          <w:u w:val="single"/>
        </w:rPr>
        <w:t>商务部分正本、副本密封；技术资信部分正本与副本密封；资格审核及其他原件资料单独密封。</w:t>
      </w:r>
      <w:r>
        <w:rPr>
          <w:rFonts w:hint="eastAsia" w:cs="Arial"/>
          <w:color w:val="auto"/>
          <w:sz w:val="22"/>
          <w:szCs w:val="22"/>
          <w:highlight w:val="none"/>
        </w:rPr>
        <w:t>所有投标文件资料</w:t>
      </w:r>
      <w:r>
        <w:rPr>
          <w:rFonts w:hint="eastAsia" w:cs="Arial"/>
          <w:color w:val="auto"/>
          <w:sz w:val="22"/>
          <w:szCs w:val="22"/>
          <w:highlight w:val="none"/>
          <w:u w:val="single"/>
        </w:rPr>
        <w:t>按第三部分第四条第2款所列顺序</w:t>
      </w:r>
      <w:r>
        <w:rPr>
          <w:rFonts w:hint="eastAsia" w:cs="Arial"/>
          <w:color w:val="auto"/>
          <w:sz w:val="22"/>
          <w:szCs w:val="22"/>
          <w:highlight w:val="none"/>
        </w:rPr>
        <w:t>装订成册，并注明正、副本字样后装入密封袋内，密封袋上应有供应商公章及投标授权代表签字。封皮上写明</w:t>
      </w:r>
      <w:r>
        <w:rPr>
          <w:rFonts w:hint="eastAsia"/>
          <w:bCs/>
          <w:color w:val="auto"/>
          <w:sz w:val="22"/>
          <w:szCs w:val="22"/>
          <w:highlight w:val="none"/>
          <w:u w:val="single"/>
        </w:rPr>
        <w:t>采购人名称，招标编号、招标项目名称、供应商名称</w:t>
      </w:r>
      <w:r>
        <w:rPr>
          <w:rFonts w:hint="eastAsia" w:cs="Arial"/>
          <w:color w:val="auto"/>
          <w:sz w:val="22"/>
          <w:szCs w:val="22"/>
          <w:highlight w:val="none"/>
        </w:rPr>
        <w:t>。</w:t>
      </w:r>
      <w:r>
        <w:rPr>
          <w:rFonts w:hint="eastAsia" w:cs="Arial"/>
          <w:color w:val="auto"/>
          <w:sz w:val="22"/>
          <w:szCs w:val="22"/>
          <w:highlight w:val="none"/>
          <w:u w:val="single"/>
        </w:rPr>
        <w:t>并分别注明“商务报价投标文件”、 “技术资信投标文件”、“</w:t>
      </w:r>
      <w:r>
        <w:rPr>
          <w:rFonts w:hint="eastAsia"/>
          <w:color w:val="auto"/>
          <w:sz w:val="22"/>
          <w:szCs w:val="22"/>
          <w:highlight w:val="none"/>
          <w:u w:val="single"/>
        </w:rPr>
        <w:t>资格审核资料</w:t>
      </w:r>
      <w:r>
        <w:rPr>
          <w:rFonts w:hint="eastAsia" w:cs="Arial"/>
          <w:color w:val="auto"/>
          <w:sz w:val="22"/>
          <w:szCs w:val="22"/>
          <w:highlight w:val="none"/>
          <w:u w:val="single"/>
        </w:rPr>
        <w:t>”、“开标时启封”字样。</w:t>
      </w:r>
    </w:p>
    <w:p>
      <w:pPr>
        <w:snapToGrid w:val="0"/>
        <w:spacing w:line="420" w:lineRule="exact"/>
        <w:ind w:firstLine="527"/>
        <w:rPr>
          <w:rFonts w:hint="eastAsia" w:ascii="宋体" w:hAnsi="宋体" w:cs="宋体"/>
          <w:b/>
          <w:color w:val="auto"/>
          <w:szCs w:val="22"/>
          <w:highlight w:val="none"/>
        </w:rPr>
      </w:pPr>
      <w:r>
        <w:rPr>
          <w:rFonts w:hint="eastAsia" w:ascii="宋体" w:hAnsi="宋体" w:cs="宋体"/>
          <w:color w:val="auto"/>
          <w:szCs w:val="22"/>
          <w:highlight w:val="none"/>
        </w:rPr>
        <w:t>1.2如果供应商未按上述要求密封及加写标记，由此引起的后果由供应商负责。</w:t>
      </w:r>
    </w:p>
    <w:p>
      <w:pPr>
        <w:snapToGrid w:val="0"/>
        <w:spacing w:line="420" w:lineRule="exact"/>
        <w:ind w:firstLine="527"/>
        <w:rPr>
          <w:rFonts w:hint="eastAsia" w:ascii="宋体" w:hAnsi="宋体" w:cs="宋体"/>
          <w:b/>
          <w:color w:val="auto"/>
          <w:szCs w:val="22"/>
          <w:highlight w:val="none"/>
        </w:rPr>
      </w:pPr>
      <w:r>
        <w:rPr>
          <w:rFonts w:hint="eastAsia" w:ascii="宋体" w:hAnsi="宋体" w:cs="宋体"/>
          <w:b/>
          <w:color w:val="auto"/>
          <w:szCs w:val="22"/>
          <w:highlight w:val="none"/>
        </w:rPr>
        <w:t>2、投标截止时间</w:t>
      </w:r>
    </w:p>
    <w:p>
      <w:pPr>
        <w:snapToGrid w:val="0"/>
        <w:spacing w:line="420" w:lineRule="exact"/>
        <w:ind w:firstLine="527"/>
        <w:rPr>
          <w:rFonts w:hint="eastAsia" w:ascii="宋体" w:hAnsi="宋体" w:cs="宋体"/>
          <w:color w:val="auto"/>
          <w:szCs w:val="22"/>
          <w:highlight w:val="none"/>
        </w:rPr>
      </w:pPr>
      <w:r>
        <w:rPr>
          <w:rFonts w:hint="eastAsia" w:ascii="宋体" w:hAnsi="宋体" w:cs="宋体"/>
          <w:color w:val="auto"/>
          <w:szCs w:val="22"/>
          <w:highlight w:val="none"/>
        </w:rPr>
        <w:t>2.1投标文件必须在投标文件递交截止时间前送达指定的投标地点。</w:t>
      </w:r>
    </w:p>
    <w:p>
      <w:pPr>
        <w:snapToGrid w:val="0"/>
        <w:spacing w:line="420" w:lineRule="exact"/>
        <w:ind w:firstLine="527"/>
        <w:rPr>
          <w:rFonts w:hint="eastAsia" w:ascii="宋体" w:hAnsi="宋体" w:cs="宋体"/>
          <w:color w:val="auto"/>
          <w:szCs w:val="22"/>
          <w:highlight w:val="none"/>
        </w:rPr>
      </w:pPr>
      <w:r>
        <w:rPr>
          <w:rFonts w:hint="eastAsia" w:ascii="宋体" w:hAnsi="宋体" w:cs="宋体"/>
          <w:color w:val="auto"/>
          <w:szCs w:val="22"/>
          <w:highlight w:val="none"/>
        </w:rPr>
        <w:t>2.2采购代理机构如因故推迟投标截止时间，将以网上发布公告的形式通知。在这种情况下，供应商的权利和义务将受到新的截止时间的约束。</w:t>
      </w:r>
    </w:p>
    <w:p>
      <w:pPr>
        <w:snapToGrid w:val="0"/>
        <w:spacing w:line="420" w:lineRule="exact"/>
        <w:ind w:firstLine="527"/>
        <w:rPr>
          <w:rFonts w:hint="eastAsia" w:ascii="宋体" w:hAnsi="宋体" w:cs="宋体"/>
          <w:color w:val="auto"/>
          <w:szCs w:val="22"/>
          <w:highlight w:val="none"/>
        </w:rPr>
      </w:pPr>
      <w:r>
        <w:rPr>
          <w:rFonts w:hint="eastAsia" w:ascii="宋体" w:hAnsi="宋体" w:cs="宋体"/>
          <w:color w:val="auto"/>
          <w:szCs w:val="22"/>
          <w:highlight w:val="none"/>
        </w:rPr>
        <w:t>3、投标文件的修改和撤回</w:t>
      </w:r>
    </w:p>
    <w:p>
      <w:pPr>
        <w:snapToGrid w:val="0"/>
        <w:spacing w:line="420" w:lineRule="exact"/>
        <w:ind w:firstLine="527"/>
        <w:rPr>
          <w:rFonts w:hint="eastAsia" w:ascii="宋体" w:hAnsi="宋体" w:cs="宋体"/>
          <w:color w:val="auto"/>
          <w:szCs w:val="22"/>
          <w:highlight w:val="none"/>
        </w:rPr>
      </w:pPr>
      <w:r>
        <w:rPr>
          <w:rFonts w:hint="eastAsia" w:ascii="宋体" w:hAnsi="宋体" w:cs="宋体"/>
          <w:color w:val="auto"/>
          <w:szCs w:val="22"/>
          <w:highlight w:val="none"/>
        </w:rPr>
        <w:t>3.1供应商在投标文件送达以后如必须修改或撤回投标文件，必须在投标截止时间以前将书面的投标修改文件或撤标通知送达采购代理机构处。</w:t>
      </w:r>
    </w:p>
    <w:p>
      <w:pPr>
        <w:snapToGrid w:val="0"/>
        <w:spacing w:line="420" w:lineRule="exact"/>
        <w:ind w:firstLine="527"/>
        <w:rPr>
          <w:rFonts w:hint="eastAsia" w:ascii="宋体" w:hAnsi="宋体" w:cs="宋体"/>
          <w:color w:val="auto"/>
          <w:szCs w:val="22"/>
          <w:highlight w:val="none"/>
        </w:rPr>
      </w:pPr>
      <w:r>
        <w:rPr>
          <w:rFonts w:hint="eastAsia" w:ascii="宋体" w:hAnsi="宋体" w:cs="宋体"/>
          <w:color w:val="auto"/>
          <w:szCs w:val="22"/>
          <w:highlight w:val="none"/>
        </w:rPr>
        <w:t>3.2投标修改文件必须密封完整。</w:t>
      </w:r>
    </w:p>
    <w:p>
      <w:pPr>
        <w:snapToGrid w:val="0"/>
        <w:spacing w:line="400" w:lineRule="exact"/>
        <w:ind w:firstLine="527"/>
        <w:rPr>
          <w:rFonts w:hint="eastAsia" w:ascii="宋体" w:hAnsi="宋体" w:cs="宋体"/>
          <w:color w:val="auto"/>
          <w:szCs w:val="22"/>
          <w:highlight w:val="none"/>
        </w:rPr>
      </w:pPr>
      <w:r>
        <w:rPr>
          <w:rFonts w:hint="eastAsia" w:ascii="宋体" w:hAnsi="宋体" w:cs="宋体"/>
          <w:color w:val="auto"/>
          <w:szCs w:val="22"/>
          <w:highlight w:val="none"/>
        </w:rPr>
        <w:t>3.3供应商在投标截止时间以前以传真形式通知采购代理机构撤标时，必须在投标截止时间以前补充有法定代表人或法定代表人授权代表签署的正式文件。</w:t>
      </w:r>
    </w:p>
    <w:p>
      <w:pPr>
        <w:snapToGrid w:val="0"/>
        <w:spacing w:line="400" w:lineRule="exact"/>
        <w:ind w:firstLine="527"/>
        <w:rPr>
          <w:rFonts w:hint="eastAsia" w:ascii="宋体" w:hAnsi="宋体" w:cs="宋体"/>
          <w:color w:val="auto"/>
          <w:szCs w:val="22"/>
          <w:highlight w:val="none"/>
        </w:rPr>
      </w:pPr>
      <w:r>
        <w:rPr>
          <w:rFonts w:hint="eastAsia" w:ascii="宋体" w:hAnsi="宋体" w:cs="宋体"/>
          <w:color w:val="auto"/>
          <w:szCs w:val="22"/>
          <w:highlight w:val="none"/>
        </w:rPr>
        <w:t>3.4供应商在开标以后要求投标文件修改和撤回的，其</w:t>
      </w:r>
      <w:r>
        <w:rPr>
          <w:rFonts w:hint="eastAsia"/>
          <w:color w:val="auto"/>
          <w:szCs w:val="22"/>
          <w:highlight w:val="none"/>
        </w:rPr>
        <w:t>投标保证金将不予退还</w:t>
      </w:r>
      <w:r>
        <w:rPr>
          <w:color w:val="auto"/>
          <w:szCs w:val="22"/>
          <w:highlight w:val="none"/>
        </w:rPr>
        <w:t>并转至采购人指定的账户</w:t>
      </w:r>
      <w:r>
        <w:rPr>
          <w:rFonts w:hint="eastAsia"/>
          <w:color w:val="auto"/>
          <w:szCs w:val="22"/>
          <w:highlight w:val="none"/>
        </w:rPr>
        <w:t>。</w:t>
      </w:r>
    </w:p>
    <w:p>
      <w:pPr>
        <w:snapToGrid w:val="0"/>
        <w:spacing w:line="420" w:lineRule="exact"/>
        <w:ind w:firstLine="527"/>
        <w:rPr>
          <w:rFonts w:hint="eastAsia" w:ascii="宋体" w:hAnsi="宋体" w:cs="宋体"/>
          <w:color w:val="auto"/>
          <w:szCs w:val="22"/>
          <w:highlight w:val="none"/>
        </w:rPr>
      </w:pPr>
      <w:r>
        <w:rPr>
          <w:rFonts w:hint="eastAsia" w:ascii="宋体" w:hAnsi="宋体" w:cs="宋体"/>
          <w:color w:val="auto"/>
          <w:szCs w:val="22"/>
          <w:highlight w:val="none"/>
        </w:rPr>
        <w:t>4、投标文件的递交</w:t>
      </w:r>
    </w:p>
    <w:p>
      <w:pPr>
        <w:snapToGrid w:val="0"/>
        <w:spacing w:line="420" w:lineRule="exact"/>
        <w:ind w:firstLine="527"/>
        <w:rPr>
          <w:rFonts w:hint="eastAsia"/>
          <w:color w:val="auto"/>
          <w:sz w:val="22"/>
          <w:szCs w:val="22"/>
          <w:highlight w:val="none"/>
        </w:rPr>
      </w:pPr>
      <w:r>
        <w:rPr>
          <w:rFonts w:hint="eastAsia"/>
          <w:b/>
          <w:bCs/>
          <w:color w:val="auto"/>
          <w:sz w:val="22"/>
          <w:szCs w:val="22"/>
          <w:highlight w:val="none"/>
          <w:u w:val="single"/>
        </w:rPr>
        <w:t>投标文件必须在规定的投标截止时间前送达到指定的收标地点，并同时递交法定代表人授权书原件（法定代表人授权书原件密封在资格审核</w:t>
      </w:r>
      <w:r>
        <w:rPr>
          <w:rFonts w:hint="eastAsia"/>
          <w:b/>
          <w:color w:val="auto"/>
          <w:sz w:val="22"/>
          <w:szCs w:val="22"/>
          <w:highlight w:val="none"/>
          <w:u w:val="single"/>
        </w:rPr>
        <w:t>及其他原件</w:t>
      </w:r>
      <w:r>
        <w:rPr>
          <w:rFonts w:hint="eastAsia"/>
          <w:b/>
          <w:bCs/>
          <w:color w:val="auto"/>
          <w:sz w:val="22"/>
          <w:szCs w:val="22"/>
          <w:highlight w:val="none"/>
          <w:u w:val="single"/>
        </w:rPr>
        <w:t>资料部分中的投标文件也有效）、供应商授权代表有效身份证件（原件）；由采购人或招标代理机构确认投标资格。</w:t>
      </w:r>
    </w:p>
    <w:p>
      <w:pPr>
        <w:snapToGrid w:val="0"/>
        <w:spacing w:line="420" w:lineRule="exact"/>
        <w:ind w:firstLine="527"/>
        <w:rPr>
          <w:rFonts w:hint="eastAsia" w:ascii="宋体" w:hAnsi="宋体" w:cs="宋体"/>
          <w:color w:val="auto"/>
          <w:szCs w:val="22"/>
          <w:highlight w:val="none"/>
        </w:rPr>
      </w:pPr>
      <w:r>
        <w:rPr>
          <w:rFonts w:hint="eastAsia" w:ascii="宋体" w:hAnsi="宋体" w:cs="宋体"/>
          <w:color w:val="auto"/>
          <w:szCs w:val="22"/>
          <w:highlight w:val="none"/>
        </w:rPr>
        <w:t>▲有下列情形之一的投标文件将被拒绝接受：</w:t>
      </w:r>
    </w:p>
    <w:p>
      <w:pPr>
        <w:snapToGrid w:val="0"/>
        <w:spacing w:line="400" w:lineRule="exact"/>
        <w:ind w:firstLine="527"/>
        <w:rPr>
          <w:rFonts w:hint="eastAsia" w:ascii="宋体" w:hAnsi="宋体" w:cs="宋体"/>
          <w:color w:val="auto"/>
          <w:szCs w:val="22"/>
          <w:highlight w:val="none"/>
        </w:rPr>
      </w:pPr>
      <w:r>
        <w:rPr>
          <w:rFonts w:hint="eastAsia" w:ascii="宋体" w:hAnsi="宋体" w:cs="宋体"/>
          <w:color w:val="auto"/>
          <w:szCs w:val="22"/>
          <w:highlight w:val="none"/>
        </w:rPr>
        <w:t>1）在投标截止时间以后送达的投标文件；</w:t>
      </w:r>
    </w:p>
    <w:p>
      <w:pPr>
        <w:snapToGrid w:val="0"/>
        <w:spacing w:line="400" w:lineRule="exact"/>
        <w:ind w:firstLine="527"/>
        <w:rPr>
          <w:rFonts w:hint="eastAsia" w:ascii="宋体" w:hAnsi="宋体" w:cs="宋体"/>
          <w:color w:val="auto"/>
          <w:szCs w:val="22"/>
          <w:highlight w:val="none"/>
        </w:rPr>
      </w:pPr>
      <w:r>
        <w:rPr>
          <w:rFonts w:hint="eastAsia" w:ascii="宋体" w:hAnsi="宋体" w:cs="宋体"/>
          <w:color w:val="auto"/>
          <w:szCs w:val="22"/>
          <w:highlight w:val="none"/>
        </w:rPr>
        <w:t>2）未密封的投标文件；</w:t>
      </w:r>
    </w:p>
    <w:p>
      <w:pPr>
        <w:snapToGrid w:val="0"/>
        <w:spacing w:line="400" w:lineRule="exact"/>
        <w:ind w:firstLine="527"/>
        <w:rPr>
          <w:rFonts w:hint="eastAsia" w:ascii="宋体" w:hAnsi="宋体" w:cs="宋体"/>
          <w:color w:val="auto"/>
          <w:szCs w:val="22"/>
          <w:highlight w:val="none"/>
        </w:rPr>
      </w:pPr>
      <w:r>
        <w:rPr>
          <w:rFonts w:hint="eastAsia" w:ascii="宋体" w:hAnsi="宋体" w:cs="宋体"/>
          <w:color w:val="auto"/>
          <w:szCs w:val="22"/>
          <w:highlight w:val="none"/>
        </w:rPr>
        <w:t>3）由于包装不妥在途中严重破损或失散的投标文件；</w:t>
      </w:r>
    </w:p>
    <w:p>
      <w:pPr>
        <w:snapToGrid w:val="0"/>
        <w:spacing w:line="400" w:lineRule="exact"/>
        <w:ind w:firstLine="527"/>
        <w:rPr>
          <w:rFonts w:hint="eastAsia" w:ascii="宋体" w:hAnsi="宋体" w:cs="宋体"/>
          <w:color w:val="auto"/>
          <w:szCs w:val="22"/>
          <w:highlight w:val="none"/>
        </w:rPr>
      </w:pPr>
      <w:r>
        <w:rPr>
          <w:rFonts w:hint="eastAsia" w:ascii="宋体" w:hAnsi="宋体" w:cs="宋体"/>
          <w:color w:val="auto"/>
          <w:szCs w:val="22"/>
          <w:highlight w:val="none"/>
        </w:rPr>
        <w:t>4）法定代表人（或其授权代表）未参加开标会议；</w:t>
      </w:r>
    </w:p>
    <w:p>
      <w:pPr>
        <w:snapToGrid w:val="0"/>
        <w:spacing w:line="420" w:lineRule="exact"/>
        <w:outlineLvl w:val="0"/>
        <w:rPr>
          <w:rFonts w:hint="eastAsia" w:ascii="宋体" w:hAnsi="宋体" w:cs="宋体"/>
          <w:color w:val="auto"/>
          <w:szCs w:val="22"/>
          <w:highlight w:val="none"/>
        </w:rPr>
      </w:pPr>
      <w:r>
        <w:rPr>
          <w:rFonts w:hint="eastAsia" w:ascii="宋体" w:hAnsi="宋体" w:cs="宋体"/>
          <w:b/>
          <w:bCs/>
          <w:color w:val="auto"/>
          <w:szCs w:val="22"/>
          <w:highlight w:val="none"/>
        </w:rPr>
        <w:t>六、开标和评标</w:t>
      </w:r>
    </w:p>
    <w:p>
      <w:pPr>
        <w:snapToGrid w:val="0"/>
        <w:spacing w:line="400" w:lineRule="exact"/>
        <w:ind w:firstLine="527"/>
        <w:rPr>
          <w:rFonts w:hint="eastAsia" w:ascii="宋体" w:hAnsi="宋体" w:cs="宋体"/>
          <w:b/>
          <w:color w:val="auto"/>
          <w:szCs w:val="22"/>
          <w:highlight w:val="none"/>
        </w:rPr>
      </w:pPr>
      <w:r>
        <w:rPr>
          <w:rFonts w:hint="eastAsia" w:ascii="宋体" w:hAnsi="宋体" w:cs="宋体"/>
          <w:b/>
          <w:color w:val="auto"/>
          <w:szCs w:val="22"/>
          <w:highlight w:val="none"/>
        </w:rPr>
        <w:t>1.1、开启</w:t>
      </w:r>
      <w:r>
        <w:rPr>
          <w:rFonts w:hint="eastAsia" w:ascii="宋体"/>
          <w:b/>
          <w:color w:val="auto"/>
          <w:szCs w:val="22"/>
          <w:highlight w:val="none"/>
        </w:rPr>
        <w:t>技术资信部分</w:t>
      </w:r>
      <w:r>
        <w:rPr>
          <w:rFonts w:hint="eastAsia" w:ascii="宋体" w:hAnsi="宋体" w:cs="宋体"/>
          <w:b/>
          <w:color w:val="auto"/>
          <w:szCs w:val="22"/>
          <w:highlight w:val="none"/>
        </w:rPr>
        <w:t>投标文件</w:t>
      </w:r>
    </w:p>
    <w:p>
      <w:pPr>
        <w:snapToGrid w:val="0"/>
        <w:spacing w:line="420" w:lineRule="exact"/>
        <w:ind w:firstLine="527"/>
        <w:rPr>
          <w:rFonts w:hint="eastAsia"/>
          <w:b/>
          <w:color w:val="auto"/>
          <w:sz w:val="22"/>
          <w:szCs w:val="22"/>
          <w:highlight w:val="none"/>
        </w:rPr>
      </w:pPr>
      <w:r>
        <w:rPr>
          <w:rFonts w:hint="eastAsia"/>
          <w:color w:val="auto"/>
          <w:sz w:val="22"/>
          <w:szCs w:val="22"/>
          <w:highlight w:val="none"/>
        </w:rPr>
        <w:t>▲</w:t>
      </w:r>
      <w:r>
        <w:rPr>
          <w:rFonts w:hint="eastAsia"/>
          <w:b/>
          <w:color w:val="auto"/>
          <w:sz w:val="22"/>
          <w:szCs w:val="22"/>
          <w:highlight w:val="none"/>
        </w:rPr>
        <w:t>按招标文件规定的时间、地点开启“资格审核资料部分”及“技术资信部分”投标文件。开标前，首先检查投标文件的密封情况，确认无误后当众开启供应商的“资格审核资料部分”及“技术资信部分”投标文件；然后由采购人或招标代理机构对各投标供应商的投标资格进行审核，并对审核通过的进行综合评审，审核未通过的给予退还“资格审核及其他原件资料部分投标文件”及</w:t>
      </w:r>
      <w:r>
        <w:rPr>
          <w:rFonts w:hint="eastAsia"/>
          <w:b/>
          <w:bCs/>
          <w:color w:val="auto"/>
          <w:sz w:val="22"/>
          <w:szCs w:val="22"/>
          <w:highlight w:val="none"/>
        </w:rPr>
        <w:t>商务报价部分投标文件</w:t>
      </w:r>
      <w:r>
        <w:rPr>
          <w:rFonts w:hint="eastAsia"/>
          <w:b/>
          <w:color w:val="auto"/>
          <w:sz w:val="22"/>
          <w:szCs w:val="22"/>
          <w:highlight w:val="none"/>
        </w:rPr>
        <w:t>；</w:t>
      </w:r>
    </w:p>
    <w:p>
      <w:pPr>
        <w:snapToGrid w:val="0"/>
        <w:spacing w:line="420" w:lineRule="exact"/>
        <w:ind w:firstLine="527"/>
        <w:rPr>
          <w:rFonts w:hint="eastAsia" w:ascii="宋体" w:hAnsi="宋体" w:cs="宋体"/>
          <w:b/>
          <w:color w:val="auto"/>
          <w:szCs w:val="22"/>
          <w:highlight w:val="none"/>
        </w:rPr>
      </w:pPr>
      <w:r>
        <w:rPr>
          <w:rFonts w:hint="eastAsia" w:ascii="宋体" w:hAnsi="宋体" w:cs="宋体"/>
          <w:color w:val="auto"/>
          <w:szCs w:val="22"/>
          <w:highlight w:val="none"/>
        </w:rPr>
        <w:t>▲</w:t>
      </w:r>
      <w:r>
        <w:rPr>
          <w:rFonts w:hint="eastAsia" w:ascii="宋体" w:hAnsi="宋体" w:cs="宋体"/>
          <w:b/>
          <w:color w:val="auto"/>
          <w:szCs w:val="22"/>
          <w:highlight w:val="none"/>
        </w:rPr>
        <w:t>有下列情形之一的供应商将按资格审核未通过处理：</w:t>
      </w:r>
    </w:p>
    <w:p>
      <w:pPr>
        <w:snapToGrid w:val="0"/>
        <w:spacing w:line="420" w:lineRule="exact"/>
        <w:ind w:firstLine="527"/>
        <w:rPr>
          <w:rFonts w:hint="eastAsia" w:ascii="宋体" w:hAnsi="宋体" w:cs="宋体"/>
          <w:b/>
          <w:bCs/>
          <w:color w:val="auto"/>
          <w:kern w:val="0"/>
          <w:szCs w:val="22"/>
          <w:highlight w:val="none"/>
        </w:rPr>
      </w:pPr>
      <w:r>
        <w:rPr>
          <w:rFonts w:hint="eastAsia" w:ascii="宋体" w:hAnsi="宋体" w:cs="宋体"/>
          <w:b/>
          <w:bCs/>
          <w:color w:val="auto"/>
          <w:kern w:val="0"/>
          <w:szCs w:val="22"/>
          <w:highlight w:val="none"/>
        </w:rPr>
        <w:t xml:space="preserve"> 1）</w:t>
      </w:r>
      <w:r>
        <w:rPr>
          <w:rFonts w:hint="eastAsia"/>
          <w:b/>
          <w:bCs/>
          <w:color w:val="auto"/>
          <w:szCs w:val="22"/>
          <w:highlight w:val="none"/>
        </w:rPr>
        <w:t>未提供</w:t>
      </w:r>
      <w:r>
        <w:rPr>
          <w:b/>
          <w:bCs/>
          <w:color w:val="auto"/>
          <w:szCs w:val="22"/>
          <w:highlight w:val="none"/>
        </w:rPr>
        <w:t>供应商营业执照复印件及供应商营业执照网上查询网址链接的</w:t>
      </w:r>
      <w:r>
        <w:rPr>
          <w:rFonts w:hint="eastAsia"/>
          <w:b/>
          <w:bCs/>
          <w:color w:val="auto"/>
          <w:szCs w:val="22"/>
          <w:highlight w:val="none"/>
        </w:rPr>
        <w:t>；</w:t>
      </w:r>
    </w:p>
    <w:p>
      <w:pPr>
        <w:snapToGrid w:val="0"/>
        <w:spacing w:line="420" w:lineRule="exact"/>
        <w:ind w:firstLine="663" w:firstLineChars="300"/>
        <w:rPr>
          <w:rFonts w:hint="eastAsia" w:ascii="宋体" w:hAnsi="宋体" w:cs="宋体"/>
          <w:b/>
          <w:bCs/>
          <w:color w:val="auto"/>
          <w:kern w:val="0"/>
          <w:szCs w:val="22"/>
          <w:highlight w:val="none"/>
        </w:rPr>
      </w:pPr>
      <w:r>
        <w:rPr>
          <w:rFonts w:hint="eastAsia" w:ascii="宋体" w:hAnsi="宋体" w:cs="宋体"/>
          <w:b/>
          <w:bCs/>
          <w:color w:val="auto"/>
          <w:kern w:val="0"/>
          <w:szCs w:val="22"/>
          <w:highlight w:val="none"/>
        </w:rPr>
        <w:t>2）未按规定提供投标保证金的；</w:t>
      </w:r>
    </w:p>
    <w:p>
      <w:pPr>
        <w:snapToGrid w:val="0"/>
        <w:spacing w:line="420" w:lineRule="exact"/>
        <w:ind w:firstLine="663" w:firstLineChars="300"/>
        <w:rPr>
          <w:rFonts w:hint="eastAsia"/>
          <w:color w:val="auto"/>
          <w:highlight w:val="none"/>
        </w:rPr>
      </w:pPr>
      <w:r>
        <w:rPr>
          <w:rFonts w:hint="eastAsia" w:ascii="宋体" w:hAnsi="宋体" w:cs="宋体"/>
          <w:b/>
          <w:bCs/>
          <w:color w:val="auto"/>
          <w:kern w:val="0"/>
          <w:szCs w:val="22"/>
          <w:highlight w:val="none"/>
        </w:rPr>
        <w:t>3）投标供应商不是是所投车辆的制造商或经销商的</w:t>
      </w:r>
    </w:p>
    <w:p>
      <w:pPr>
        <w:snapToGrid w:val="0"/>
        <w:spacing w:line="400" w:lineRule="exact"/>
        <w:ind w:firstLine="663" w:firstLineChars="300"/>
        <w:rPr>
          <w:rFonts w:hint="eastAsia" w:ascii="宋体" w:hAnsi="宋体" w:cs="宋体"/>
          <w:b/>
          <w:color w:val="auto"/>
          <w:highlight w:val="none"/>
          <w:lang w:val="zh-CN"/>
        </w:rPr>
      </w:pPr>
      <w:r>
        <w:rPr>
          <w:rFonts w:hint="eastAsia" w:ascii="宋体" w:hAnsi="宋体" w:cs="宋体"/>
          <w:b/>
          <w:bCs/>
          <w:color w:val="auto"/>
          <w:kern w:val="0"/>
          <w:szCs w:val="22"/>
          <w:highlight w:val="none"/>
          <w:lang w:val="en-US" w:eastAsia="zh-CN"/>
        </w:rPr>
        <w:t>4</w:t>
      </w:r>
      <w:r>
        <w:rPr>
          <w:rFonts w:hint="eastAsia" w:ascii="宋体" w:hAnsi="宋体" w:cs="宋体"/>
          <w:b/>
          <w:bCs/>
          <w:color w:val="auto"/>
          <w:kern w:val="0"/>
          <w:szCs w:val="22"/>
          <w:highlight w:val="none"/>
        </w:rPr>
        <w:t>）评标现场经查询：</w:t>
      </w:r>
      <w:r>
        <w:rPr>
          <w:rFonts w:hint="eastAsia"/>
          <w:b/>
          <w:bCs/>
          <w:color w:val="auto"/>
          <w:szCs w:val="22"/>
          <w:highlight w:val="none"/>
        </w:rPr>
        <w:t>截止评标当日，经查询“信用中国”“中国政府采购网”存在列入失信被执行人、重大税收违法案件当事人名单、政府采购严重违法失信行为记录名单及其他不符合《</w:t>
      </w:r>
      <w:r>
        <w:rPr>
          <w:rFonts w:hint="eastAsia" w:ascii="宋体" w:cs="宋体"/>
          <w:b/>
          <w:color w:val="auto"/>
          <w:szCs w:val="22"/>
          <w:highlight w:val="none"/>
        </w:rPr>
        <w:t>平阳县国有企业采购管理办法（试行）</w:t>
      </w:r>
      <w:r>
        <w:rPr>
          <w:rFonts w:hint="eastAsia"/>
          <w:b/>
          <w:bCs/>
          <w:color w:val="auto"/>
          <w:szCs w:val="22"/>
          <w:highlight w:val="none"/>
        </w:rPr>
        <w:t>》第十二条规定条件的供应商，其投标做无效投标处理。</w:t>
      </w:r>
    </w:p>
    <w:p>
      <w:pPr>
        <w:spacing w:line="420" w:lineRule="exact"/>
        <w:ind w:left="671" w:leftChars="54" w:hanging="552" w:hangingChars="250"/>
        <w:rPr>
          <w:rFonts w:hint="eastAsia" w:ascii="宋体" w:hAnsi="宋体" w:cs="宋体"/>
          <w:b/>
          <w:bCs/>
          <w:color w:val="auto"/>
          <w:szCs w:val="22"/>
          <w:highlight w:val="none"/>
        </w:rPr>
      </w:pPr>
      <w:r>
        <w:rPr>
          <w:rFonts w:hint="eastAsia" w:ascii="宋体" w:hAnsi="宋体" w:cs="宋体"/>
          <w:b/>
          <w:bCs/>
          <w:color w:val="auto"/>
          <w:szCs w:val="22"/>
          <w:highlight w:val="none"/>
        </w:rPr>
        <w:t>1.2  开启商务报价部分投标文件</w:t>
      </w:r>
    </w:p>
    <w:p>
      <w:pPr>
        <w:spacing w:line="420" w:lineRule="exact"/>
        <w:ind w:left="669" w:leftChars="54" w:hanging="550" w:hangingChars="250"/>
        <w:rPr>
          <w:rFonts w:hint="eastAsia" w:ascii="宋体" w:hAnsi="宋体" w:cs="宋体"/>
          <w:bCs/>
          <w:color w:val="auto"/>
          <w:szCs w:val="22"/>
          <w:highlight w:val="none"/>
        </w:rPr>
      </w:pPr>
      <w:r>
        <w:rPr>
          <w:rFonts w:hint="eastAsia" w:ascii="宋体" w:hAnsi="宋体" w:cs="宋体"/>
          <w:bCs/>
          <w:color w:val="auto"/>
          <w:szCs w:val="22"/>
          <w:highlight w:val="none"/>
        </w:rPr>
        <w:t>（1）开商务标时邀请所有供应商代表参加，参加开标的代表应准时出席并签名报到以证明其出席。供应商代表未参加开标会的，事后不得对开标过程和开标结果提出异议。</w:t>
      </w:r>
    </w:p>
    <w:p>
      <w:pPr>
        <w:spacing w:line="420" w:lineRule="exact"/>
        <w:ind w:firstLine="110" w:firstLineChars="50"/>
        <w:rPr>
          <w:rFonts w:hint="eastAsia" w:ascii="宋体" w:hAnsi="宋体" w:cs="宋体"/>
          <w:bCs/>
          <w:color w:val="auto"/>
          <w:szCs w:val="22"/>
          <w:highlight w:val="none"/>
        </w:rPr>
      </w:pPr>
      <w:r>
        <w:rPr>
          <w:rFonts w:hint="eastAsia" w:ascii="宋体" w:hAnsi="宋体" w:cs="宋体"/>
          <w:bCs/>
          <w:color w:val="auto"/>
          <w:szCs w:val="22"/>
          <w:highlight w:val="none"/>
        </w:rPr>
        <w:t>（2）宣布对各供应商投标保证金等审查结果和技术、资信标得分情况。</w:t>
      </w:r>
    </w:p>
    <w:p>
      <w:pPr>
        <w:spacing w:line="420" w:lineRule="exact"/>
        <w:ind w:left="669" w:leftChars="54" w:hanging="550" w:hangingChars="250"/>
        <w:rPr>
          <w:rFonts w:hint="eastAsia" w:ascii="宋体" w:hAnsi="宋体" w:cs="宋体"/>
          <w:b/>
          <w:bCs/>
          <w:color w:val="auto"/>
          <w:szCs w:val="22"/>
          <w:highlight w:val="none"/>
        </w:rPr>
      </w:pPr>
      <w:r>
        <w:rPr>
          <w:rFonts w:hint="eastAsia" w:ascii="宋体" w:hAnsi="宋体" w:cs="宋体"/>
          <w:bCs/>
          <w:color w:val="auto"/>
          <w:szCs w:val="22"/>
          <w:highlight w:val="none"/>
        </w:rPr>
        <w:t>（3）检查有效供应商“商务标”的密封情况，确认无误后开启“商务标”，唱读“开标一览表”全部内容。</w:t>
      </w:r>
      <w:r>
        <w:rPr>
          <w:rFonts w:hint="eastAsia" w:ascii="宋体" w:hAnsi="宋体" w:cs="宋体"/>
          <w:b/>
          <w:bCs/>
          <w:color w:val="auto"/>
          <w:szCs w:val="22"/>
          <w:highlight w:val="none"/>
        </w:rPr>
        <w:t>唱读结束后，供应商代表应对唱读内容及记录结果当场进行校核和签字确认，如有异议应当场提出，否则视为默许同意。</w:t>
      </w:r>
    </w:p>
    <w:p>
      <w:pPr>
        <w:spacing w:line="420" w:lineRule="exact"/>
        <w:ind w:firstLine="110" w:firstLineChars="50"/>
        <w:rPr>
          <w:rFonts w:hint="eastAsia" w:ascii="宋体" w:hAnsi="宋体" w:cs="宋体"/>
          <w:bCs/>
          <w:color w:val="auto"/>
          <w:szCs w:val="22"/>
          <w:highlight w:val="none"/>
        </w:rPr>
      </w:pPr>
      <w:r>
        <w:rPr>
          <w:rFonts w:hint="eastAsia" w:ascii="宋体" w:hAnsi="宋体" w:cs="宋体"/>
          <w:bCs/>
          <w:color w:val="auto"/>
          <w:szCs w:val="22"/>
          <w:highlight w:val="none"/>
        </w:rPr>
        <w:t>（4）开标时没有启封和宣读的投标文件，原封退回给供应商。</w:t>
      </w:r>
    </w:p>
    <w:p>
      <w:pPr>
        <w:spacing w:line="420" w:lineRule="exact"/>
        <w:ind w:firstLine="110" w:firstLineChars="50"/>
        <w:rPr>
          <w:rFonts w:hint="eastAsia" w:ascii="宋体" w:hAnsi="宋体" w:cs="宋体"/>
          <w:color w:val="auto"/>
          <w:szCs w:val="22"/>
          <w:highlight w:val="none"/>
        </w:rPr>
      </w:pPr>
      <w:r>
        <w:rPr>
          <w:rFonts w:hint="eastAsia" w:ascii="宋体" w:hAnsi="宋体" w:cs="宋体"/>
          <w:bCs/>
          <w:color w:val="auto"/>
          <w:szCs w:val="22"/>
          <w:highlight w:val="none"/>
        </w:rPr>
        <w:t>（5）开商务标时，招标人指定专人作好记录，存档备查。</w:t>
      </w:r>
    </w:p>
    <w:p>
      <w:pPr>
        <w:spacing w:line="420" w:lineRule="exact"/>
        <w:ind w:firstLine="110" w:firstLineChars="5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1.3开启商务标时，投标文件中《开标一览表》(报价表)内容与投标文件中明细表内容不一致的，以开标一览表(报价表)为准。</w:t>
      </w:r>
    </w:p>
    <w:p>
      <w:pPr>
        <w:spacing w:line="420" w:lineRule="exact"/>
        <w:ind w:firstLine="110" w:firstLineChars="50"/>
        <w:rPr>
          <w:rFonts w:hint="eastAsia" w:ascii="宋体" w:hAnsi="宋体" w:cs="宋体"/>
          <w:color w:val="auto"/>
          <w:szCs w:val="22"/>
          <w:highlight w:val="none"/>
        </w:rPr>
      </w:pPr>
      <w:r>
        <w:rPr>
          <w:rFonts w:hint="eastAsia" w:ascii="宋体" w:hAnsi="宋体" w:eastAsia="宋体" w:cs="宋体"/>
          <w:bCs/>
          <w:color w:val="auto"/>
          <w:szCs w:val="22"/>
          <w:highlight w:val="none"/>
        </w:rPr>
        <w:t>投标文件的大写金额和小写</w:t>
      </w:r>
      <w:r>
        <w:rPr>
          <w:rFonts w:hint="eastAsia" w:ascii="宋体" w:hAnsi="宋体" w:cs="宋体"/>
          <w:color w:val="auto"/>
          <w:szCs w:val="22"/>
          <w:highlight w:val="none"/>
        </w:rPr>
        <w:t>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投标文件的解释发生异议的，以中文文本为准。</w:t>
      </w:r>
    </w:p>
    <w:p>
      <w:pPr>
        <w:snapToGrid w:val="0"/>
        <w:spacing w:line="420" w:lineRule="exact"/>
        <w:ind w:firstLine="527"/>
        <w:rPr>
          <w:rFonts w:hint="eastAsia" w:ascii="宋体" w:hAnsi="宋体" w:cs="宋体"/>
          <w:color w:val="auto"/>
          <w:szCs w:val="22"/>
          <w:highlight w:val="none"/>
        </w:rPr>
      </w:pPr>
      <w:r>
        <w:rPr>
          <w:rFonts w:hint="eastAsia" w:ascii="宋体" w:hAnsi="宋体" w:cs="宋体"/>
          <w:color w:val="auto"/>
          <w:szCs w:val="22"/>
          <w:highlight w:val="none"/>
        </w:rPr>
        <w:t>2、评标</w:t>
      </w:r>
    </w:p>
    <w:p>
      <w:pPr>
        <w:snapToGrid w:val="0"/>
        <w:spacing w:line="420" w:lineRule="exact"/>
        <w:ind w:firstLine="527"/>
        <w:rPr>
          <w:rFonts w:hint="eastAsia" w:ascii="宋体" w:hAnsi="宋体" w:cs="宋体"/>
          <w:color w:val="auto"/>
          <w:szCs w:val="22"/>
          <w:highlight w:val="none"/>
        </w:rPr>
      </w:pPr>
      <w:r>
        <w:rPr>
          <w:rFonts w:hint="eastAsia" w:ascii="宋体" w:hAnsi="宋体" w:cs="宋体"/>
          <w:color w:val="auto"/>
          <w:szCs w:val="22"/>
          <w:highlight w:val="none"/>
        </w:rPr>
        <w:t>2.1评标由采购人依法组建的评标委员会负责，并独立履行下列职责：</w:t>
      </w:r>
    </w:p>
    <w:p>
      <w:pPr>
        <w:snapToGrid w:val="0"/>
        <w:spacing w:line="420" w:lineRule="exact"/>
        <w:ind w:firstLine="527"/>
        <w:rPr>
          <w:rFonts w:hint="eastAsia" w:ascii="宋体" w:hAnsi="宋体" w:cs="宋体"/>
          <w:color w:val="auto"/>
          <w:szCs w:val="22"/>
          <w:highlight w:val="none"/>
        </w:rPr>
      </w:pPr>
      <w:r>
        <w:rPr>
          <w:rFonts w:hint="eastAsia" w:ascii="宋体" w:hAnsi="宋体" w:cs="宋体"/>
          <w:color w:val="auto"/>
          <w:szCs w:val="22"/>
          <w:highlight w:val="none"/>
        </w:rPr>
        <w:t>1）审查投标文件是否符合招标文件要求，并作出评价；</w:t>
      </w:r>
    </w:p>
    <w:p>
      <w:pPr>
        <w:snapToGrid w:val="0"/>
        <w:spacing w:line="420" w:lineRule="exact"/>
        <w:ind w:firstLine="527"/>
        <w:rPr>
          <w:rFonts w:hint="eastAsia" w:ascii="宋体" w:hAnsi="宋体" w:cs="宋体"/>
          <w:color w:val="auto"/>
          <w:szCs w:val="22"/>
          <w:highlight w:val="none"/>
        </w:rPr>
      </w:pPr>
      <w:r>
        <w:rPr>
          <w:rFonts w:hint="eastAsia" w:ascii="宋体" w:hAnsi="宋体" w:cs="宋体"/>
          <w:color w:val="auto"/>
          <w:szCs w:val="22"/>
          <w:highlight w:val="none"/>
        </w:rPr>
        <w:t>2）要求投标供应商对投标文件有关事项作出解释或者澄清；</w:t>
      </w:r>
    </w:p>
    <w:p>
      <w:pPr>
        <w:snapToGrid w:val="0"/>
        <w:spacing w:line="420" w:lineRule="exact"/>
        <w:ind w:firstLine="527"/>
        <w:rPr>
          <w:rFonts w:hint="eastAsia" w:ascii="宋体" w:hAnsi="宋体" w:cs="宋体"/>
          <w:color w:val="auto"/>
          <w:szCs w:val="22"/>
          <w:highlight w:val="none"/>
        </w:rPr>
      </w:pPr>
      <w:r>
        <w:rPr>
          <w:rFonts w:hint="eastAsia" w:ascii="宋体" w:hAnsi="宋体" w:cs="宋体"/>
          <w:color w:val="auto"/>
          <w:szCs w:val="22"/>
          <w:highlight w:val="none"/>
        </w:rPr>
        <w:t>3）根据采购人授权确定中标供应商名单；</w:t>
      </w:r>
    </w:p>
    <w:p>
      <w:pPr>
        <w:snapToGrid w:val="0"/>
        <w:spacing w:line="420" w:lineRule="exact"/>
        <w:ind w:firstLine="431" w:firstLineChars="196"/>
        <w:rPr>
          <w:rFonts w:hint="eastAsia" w:ascii="宋体" w:hAnsi="宋体" w:cs="宋体"/>
          <w:color w:val="auto"/>
          <w:szCs w:val="22"/>
          <w:highlight w:val="none"/>
        </w:rPr>
      </w:pPr>
      <w:r>
        <w:rPr>
          <w:rFonts w:hint="eastAsia" w:ascii="宋体" w:hAnsi="宋体" w:cs="宋体"/>
          <w:color w:val="auto"/>
          <w:szCs w:val="22"/>
          <w:highlight w:val="none"/>
        </w:rPr>
        <w:t>4）向采购代理机构或者有关部门报告非法干预评标工作的行为。</w:t>
      </w:r>
    </w:p>
    <w:p>
      <w:pPr>
        <w:snapToGrid w:val="0"/>
        <w:spacing w:line="420" w:lineRule="exact"/>
        <w:ind w:firstLine="431" w:firstLineChars="196"/>
        <w:rPr>
          <w:rFonts w:hint="eastAsia" w:ascii="宋体" w:hAnsi="宋体" w:cs="宋体"/>
          <w:color w:val="auto"/>
          <w:szCs w:val="22"/>
          <w:highlight w:val="none"/>
        </w:rPr>
      </w:pPr>
      <w:r>
        <w:rPr>
          <w:rFonts w:hint="eastAsia" w:ascii="宋体" w:hAnsi="宋体" w:cs="宋体"/>
          <w:color w:val="auto"/>
          <w:szCs w:val="22"/>
          <w:highlight w:val="none"/>
        </w:rPr>
        <w:t>2.2、评标应当遵循下列工作程序：</w:t>
      </w:r>
    </w:p>
    <w:p>
      <w:pPr>
        <w:snapToGrid w:val="0"/>
        <w:spacing w:line="420" w:lineRule="exact"/>
        <w:rPr>
          <w:rFonts w:hint="eastAsia" w:ascii="宋体" w:hAnsi="宋体" w:cs="宋体"/>
          <w:b/>
          <w:color w:val="auto"/>
          <w:szCs w:val="22"/>
          <w:highlight w:val="none"/>
          <w:u w:val="single"/>
        </w:rPr>
      </w:pPr>
      <w:r>
        <w:rPr>
          <w:rFonts w:hint="eastAsia" w:ascii="宋体" w:hAnsi="宋体" w:cs="宋体"/>
          <w:color w:val="auto"/>
          <w:szCs w:val="22"/>
          <w:highlight w:val="none"/>
        </w:rPr>
        <w:t xml:space="preserve">    1）投标文件初审。初审分为资格性检查和符合性检查。</w:t>
      </w:r>
    </w:p>
    <w:p>
      <w:pPr>
        <w:snapToGrid w:val="0"/>
        <w:spacing w:line="420" w:lineRule="exact"/>
        <w:rPr>
          <w:rFonts w:hint="eastAsia" w:ascii="宋体" w:hAnsi="宋体" w:cs="宋体"/>
          <w:color w:val="auto"/>
          <w:szCs w:val="22"/>
          <w:highlight w:val="none"/>
        </w:rPr>
      </w:pPr>
      <w:r>
        <w:rPr>
          <w:rFonts w:hint="eastAsia" w:ascii="宋体" w:hAnsi="宋体" w:cs="宋体"/>
          <w:color w:val="auto"/>
          <w:szCs w:val="22"/>
          <w:highlight w:val="none"/>
        </w:rPr>
        <w:t xml:space="preserve">   （1)资格性检查。依据法律法规和招标文件的规定，对投标文件中的投标供应商资格文件等进行审查，以确定投标供应商是否具备投标资格。</w:t>
      </w:r>
    </w:p>
    <w:p>
      <w:pPr>
        <w:snapToGrid w:val="0"/>
        <w:spacing w:line="420" w:lineRule="exact"/>
        <w:rPr>
          <w:rFonts w:hint="eastAsia" w:ascii="宋体" w:hAnsi="宋体" w:cs="宋体"/>
          <w:color w:val="auto"/>
          <w:szCs w:val="22"/>
          <w:highlight w:val="none"/>
        </w:rPr>
      </w:pPr>
      <w:r>
        <w:rPr>
          <w:rFonts w:hint="eastAsia" w:ascii="宋体" w:hAnsi="宋体" w:cs="宋体"/>
          <w:color w:val="auto"/>
          <w:szCs w:val="22"/>
          <w:highlight w:val="none"/>
        </w:rPr>
        <w:t xml:space="preserve">   （2)符合性检查。依据招标文件的规定，从投标文件的有效性、完整性和对招标文件的响应程度进行审查，以确定是否对招标文件的实质性要求作出响应。</w:t>
      </w:r>
    </w:p>
    <w:p>
      <w:pPr>
        <w:snapToGrid w:val="0"/>
        <w:spacing w:line="420" w:lineRule="exact"/>
        <w:rPr>
          <w:rFonts w:hint="eastAsia" w:ascii="宋体" w:hAnsi="宋体" w:cs="宋体"/>
          <w:color w:val="auto"/>
          <w:szCs w:val="22"/>
          <w:highlight w:val="none"/>
        </w:rPr>
      </w:pPr>
      <w:r>
        <w:rPr>
          <w:rFonts w:hint="eastAsia" w:ascii="宋体" w:hAnsi="宋体" w:cs="宋体"/>
          <w:color w:val="auto"/>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pPr>
        <w:snapToGrid w:val="0"/>
        <w:spacing w:line="420" w:lineRule="exact"/>
        <w:ind w:firstLine="450"/>
        <w:rPr>
          <w:rFonts w:hint="eastAsia" w:ascii="宋体" w:hAnsi="宋体" w:cs="宋体"/>
          <w:color w:val="auto"/>
          <w:szCs w:val="22"/>
          <w:highlight w:val="none"/>
        </w:rPr>
      </w:pPr>
      <w:r>
        <w:rPr>
          <w:rFonts w:hint="eastAsia" w:ascii="宋体" w:hAnsi="宋体" w:cs="宋体"/>
          <w:color w:val="auto"/>
          <w:szCs w:val="22"/>
          <w:highlight w:val="none"/>
        </w:rPr>
        <w:t>3）比较与评价。按招标文件中规定的评标方法和标准，对资格性检查和符合性检查合格的投标文件进行综合评估，综合比较与评价。</w:t>
      </w:r>
    </w:p>
    <w:p>
      <w:pPr>
        <w:snapToGrid w:val="0"/>
        <w:spacing w:line="420" w:lineRule="exact"/>
        <w:ind w:firstLine="450"/>
        <w:rPr>
          <w:rFonts w:hint="eastAsia" w:ascii="宋体" w:hAnsi="宋体" w:cs="宋体"/>
          <w:color w:val="auto"/>
          <w:szCs w:val="22"/>
          <w:highlight w:val="none"/>
        </w:rPr>
      </w:pPr>
      <w:r>
        <w:rPr>
          <w:rFonts w:hint="eastAsia" w:ascii="宋体" w:hAnsi="宋体" w:cs="宋体"/>
          <w:color w:val="auto"/>
          <w:szCs w:val="22"/>
          <w:highlight w:val="none"/>
        </w:rPr>
        <w:t>4）推荐中标候选供应商名单，并根据采购人的授权确定中标供应商。</w:t>
      </w:r>
    </w:p>
    <w:p>
      <w:pPr>
        <w:snapToGrid w:val="0"/>
        <w:spacing w:line="420" w:lineRule="exact"/>
        <w:ind w:firstLine="450"/>
        <w:rPr>
          <w:rFonts w:hint="eastAsia" w:ascii="宋体" w:hAnsi="宋体" w:cs="宋体"/>
          <w:b/>
          <w:color w:val="auto"/>
          <w:szCs w:val="22"/>
          <w:highlight w:val="none"/>
        </w:rPr>
      </w:pPr>
      <w:r>
        <w:rPr>
          <w:rFonts w:hint="eastAsia" w:ascii="宋体" w:hAnsi="宋体" w:cs="宋体"/>
          <w:color w:val="auto"/>
          <w:szCs w:val="22"/>
          <w:highlight w:val="none"/>
        </w:rPr>
        <w:t>2.3、</w:t>
      </w:r>
      <w:r>
        <w:rPr>
          <w:rFonts w:hint="eastAsia" w:ascii="宋体" w:hAnsi="宋体" w:cs="宋体"/>
          <w:b/>
          <w:color w:val="auto"/>
          <w:szCs w:val="22"/>
          <w:highlight w:val="none"/>
        </w:rPr>
        <w:t>本次采购，如果供应商报价超出本项目最高限价的，供应商投标作无效投标处理。</w:t>
      </w:r>
    </w:p>
    <w:p>
      <w:pPr>
        <w:snapToGrid w:val="0"/>
        <w:spacing w:line="400" w:lineRule="exact"/>
        <w:ind w:firstLine="426"/>
        <w:rPr>
          <w:rFonts w:hint="eastAsia" w:ascii="宋体" w:hAnsi="宋体" w:cs="宋体"/>
          <w:color w:val="auto"/>
          <w:highlight w:val="none"/>
        </w:rPr>
      </w:pPr>
      <w:r>
        <w:rPr>
          <w:rFonts w:hint="eastAsia" w:ascii="宋体" w:hAnsi="宋体" w:cs="宋体"/>
          <w:color w:val="auto"/>
          <w:highlight w:val="none"/>
        </w:rPr>
        <w:t>2.4、</w:t>
      </w:r>
      <w:r>
        <w:rPr>
          <w:rFonts w:hint="eastAsia" w:ascii="宋体" w:hAnsi="宋体" w:cs="宋体"/>
          <w:b/>
          <w:color w:val="auto"/>
          <w:szCs w:val="22"/>
          <w:highlight w:val="none"/>
        </w:rPr>
        <w:t>截止时间及评审期间，出现有效供应商不足三家的，采购组织机构应当中止采购活动，依法重新组织采购，或按规定向同级监管部门说明情况，并申请采用其他采购方式组织采购。</w:t>
      </w:r>
    </w:p>
    <w:p>
      <w:pPr>
        <w:pStyle w:val="24"/>
        <w:snapToGrid w:val="0"/>
        <w:spacing w:line="420" w:lineRule="exact"/>
        <w:ind w:firstLine="431" w:firstLineChars="196"/>
        <w:rPr>
          <w:rFonts w:hint="eastAsia" w:hAnsi="宋体" w:cs="宋体"/>
          <w:b/>
          <w:color w:val="auto"/>
          <w:sz w:val="22"/>
          <w:szCs w:val="22"/>
          <w:highlight w:val="none"/>
          <w:u w:val="single"/>
        </w:rPr>
      </w:pPr>
      <w:r>
        <w:rPr>
          <w:rFonts w:hint="eastAsia" w:hAnsi="宋体" w:cs="宋体"/>
          <w:color w:val="auto"/>
          <w:sz w:val="22"/>
          <w:szCs w:val="22"/>
          <w:highlight w:val="none"/>
        </w:rPr>
        <w:t>2.5、</w:t>
      </w:r>
      <w:r>
        <w:rPr>
          <w:rFonts w:hint="eastAsia" w:hAnsi="宋体" w:cs="宋体"/>
          <w:b/>
          <w:color w:val="auto"/>
          <w:sz w:val="22"/>
          <w:szCs w:val="22"/>
          <w:highlight w:val="none"/>
          <w:u w:val="single"/>
        </w:rPr>
        <w:t>▲评标委员会发现投标文件有下列情形之一的属于重大偏差(评标委员会按少数服从多数原则认定),按照无效投标处理：</w:t>
      </w:r>
    </w:p>
    <w:p>
      <w:pPr>
        <w:pStyle w:val="24"/>
        <w:snapToGrid w:val="0"/>
        <w:spacing w:line="420" w:lineRule="exact"/>
        <w:ind w:firstLine="431" w:firstLineChars="196"/>
        <w:rPr>
          <w:rFonts w:hint="eastAsia" w:hAnsi="宋体" w:cs="宋体"/>
          <w:color w:val="auto"/>
          <w:sz w:val="22"/>
          <w:szCs w:val="22"/>
          <w:highlight w:val="none"/>
        </w:rPr>
      </w:pPr>
      <w:r>
        <w:rPr>
          <w:rFonts w:hint="eastAsia" w:hAnsi="宋体" w:cs="宋体"/>
          <w:color w:val="auto"/>
          <w:sz w:val="22"/>
          <w:szCs w:val="22"/>
          <w:highlight w:val="none"/>
        </w:rPr>
        <w:t>1）未按招标文件要求编制或字迹模糊、辨认不清的投标文件；</w:t>
      </w:r>
    </w:p>
    <w:p>
      <w:pPr>
        <w:pStyle w:val="24"/>
        <w:snapToGrid w:val="0"/>
        <w:spacing w:line="420" w:lineRule="exact"/>
        <w:ind w:firstLine="431" w:firstLineChars="196"/>
        <w:rPr>
          <w:rFonts w:hint="eastAsia" w:hAnsi="宋体" w:cs="宋体"/>
          <w:color w:val="auto"/>
          <w:sz w:val="22"/>
          <w:szCs w:val="22"/>
          <w:highlight w:val="none"/>
        </w:rPr>
      </w:pPr>
      <w:r>
        <w:rPr>
          <w:rFonts w:hint="eastAsia" w:hAnsi="宋体" w:cs="宋体"/>
          <w:color w:val="auto"/>
          <w:sz w:val="22"/>
          <w:szCs w:val="22"/>
          <w:highlight w:val="none"/>
        </w:rPr>
        <w:t>2）供应商递交两份或两份以上内容不同的投标文件，未声明哪一份有效的；</w:t>
      </w:r>
    </w:p>
    <w:p>
      <w:pPr>
        <w:pStyle w:val="24"/>
        <w:snapToGrid w:val="0"/>
        <w:spacing w:line="420" w:lineRule="exact"/>
        <w:ind w:firstLine="431" w:firstLineChars="196"/>
        <w:rPr>
          <w:rFonts w:hint="eastAsia" w:hAnsi="宋体" w:cs="宋体"/>
          <w:color w:val="auto"/>
          <w:sz w:val="22"/>
          <w:szCs w:val="22"/>
          <w:highlight w:val="none"/>
        </w:rPr>
      </w:pPr>
      <w:r>
        <w:rPr>
          <w:rFonts w:hint="eastAsia" w:hAnsi="宋体" w:cs="宋体"/>
          <w:color w:val="auto"/>
          <w:sz w:val="22"/>
          <w:szCs w:val="22"/>
          <w:highlight w:val="none"/>
        </w:rPr>
        <w:t>3）没有按招标文件格式要求加盖有效公章、无法定代表人（或授权代表）签字或印章（具体格式见招标文件附件—投标文件格式）；</w:t>
      </w:r>
    </w:p>
    <w:p>
      <w:pPr>
        <w:pStyle w:val="24"/>
        <w:snapToGrid w:val="0"/>
        <w:spacing w:line="420" w:lineRule="exact"/>
        <w:ind w:firstLine="431" w:firstLineChars="196"/>
        <w:rPr>
          <w:rFonts w:hint="eastAsia" w:hAnsi="宋体" w:cs="宋体"/>
          <w:color w:val="auto"/>
          <w:sz w:val="22"/>
          <w:szCs w:val="22"/>
          <w:highlight w:val="none"/>
        </w:rPr>
      </w:pPr>
      <w:r>
        <w:rPr>
          <w:rFonts w:hint="eastAsia" w:hAnsi="宋体" w:cs="宋体"/>
          <w:color w:val="auto"/>
          <w:sz w:val="22"/>
          <w:szCs w:val="22"/>
          <w:highlight w:val="none"/>
        </w:rPr>
        <w:t>4）供应商技术资信投标文件中出现投标产品的商务报价；</w:t>
      </w:r>
    </w:p>
    <w:p>
      <w:pPr>
        <w:pStyle w:val="24"/>
        <w:snapToGrid w:val="0"/>
        <w:spacing w:line="420" w:lineRule="exact"/>
        <w:ind w:firstLine="431" w:firstLineChars="196"/>
        <w:rPr>
          <w:rFonts w:hint="eastAsia" w:hAnsi="宋体" w:cs="宋体"/>
          <w:color w:val="auto"/>
          <w:sz w:val="22"/>
          <w:szCs w:val="22"/>
          <w:highlight w:val="none"/>
        </w:rPr>
      </w:pPr>
      <w:r>
        <w:rPr>
          <w:rFonts w:hint="eastAsia" w:hAnsi="宋体" w:cs="宋体"/>
          <w:color w:val="auto"/>
          <w:sz w:val="22"/>
          <w:szCs w:val="22"/>
          <w:highlight w:val="none"/>
        </w:rPr>
        <w:t>5） 明显不符合要求的投标文件；</w:t>
      </w:r>
    </w:p>
    <w:p>
      <w:pPr>
        <w:pStyle w:val="24"/>
        <w:snapToGrid w:val="0"/>
        <w:spacing w:line="420" w:lineRule="exact"/>
        <w:ind w:firstLine="431" w:firstLineChars="196"/>
        <w:rPr>
          <w:rFonts w:hint="eastAsia" w:hAnsi="宋体" w:cs="宋体"/>
          <w:color w:val="auto"/>
          <w:sz w:val="22"/>
          <w:szCs w:val="22"/>
          <w:highlight w:val="none"/>
        </w:rPr>
      </w:pPr>
      <w:r>
        <w:rPr>
          <w:rFonts w:hint="eastAsia" w:hAnsi="宋体" w:cs="宋体"/>
          <w:color w:val="auto"/>
          <w:sz w:val="22"/>
          <w:szCs w:val="22"/>
          <w:highlight w:val="none"/>
        </w:rPr>
        <w:t>6）付款方式、服务期出现负偏差的；</w:t>
      </w:r>
    </w:p>
    <w:p>
      <w:pPr>
        <w:pStyle w:val="24"/>
        <w:snapToGrid w:val="0"/>
        <w:spacing w:line="420" w:lineRule="exact"/>
        <w:ind w:firstLine="431" w:firstLineChars="196"/>
        <w:rPr>
          <w:rFonts w:hint="eastAsia" w:hAnsi="宋体" w:cs="宋体"/>
          <w:color w:val="auto"/>
          <w:sz w:val="22"/>
          <w:szCs w:val="22"/>
          <w:highlight w:val="none"/>
        </w:rPr>
      </w:pPr>
      <w:r>
        <w:rPr>
          <w:rFonts w:hint="eastAsia" w:hAnsi="宋体" w:cs="宋体"/>
          <w:color w:val="auto"/>
          <w:sz w:val="22"/>
          <w:szCs w:val="22"/>
          <w:highlight w:val="none"/>
        </w:rPr>
        <w:t>7）投标文件附有采购人不能接受的条款；</w:t>
      </w:r>
    </w:p>
    <w:p>
      <w:pPr>
        <w:pStyle w:val="24"/>
        <w:snapToGrid w:val="0"/>
        <w:spacing w:line="420" w:lineRule="exact"/>
        <w:ind w:firstLine="431" w:firstLineChars="196"/>
        <w:rPr>
          <w:rFonts w:hint="eastAsia" w:hAnsi="宋体" w:cs="宋体"/>
          <w:color w:val="auto"/>
          <w:sz w:val="22"/>
          <w:szCs w:val="22"/>
          <w:highlight w:val="none"/>
        </w:rPr>
      </w:pPr>
      <w:r>
        <w:rPr>
          <w:rFonts w:hint="eastAsia" w:hAnsi="宋体" w:cs="宋体"/>
          <w:color w:val="auto"/>
          <w:sz w:val="22"/>
          <w:szCs w:val="22"/>
          <w:highlight w:val="none"/>
        </w:rPr>
        <w:t>8）不符合招标文件中规定的实质性要求的投标文件，是否为偏离实质性要求由评标委员会认定。</w:t>
      </w:r>
    </w:p>
    <w:p>
      <w:pPr>
        <w:pStyle w:val="24"/>
        <w:snapToGrid w:val="0"/>
        <w:spacing w:line="420" w:lineRule="exact"/>
        <w:ind w:firstLine="431" w:firstLineChars="196"/>
        <w:rPr>
          <w:rFonts w:hint="eastAsia" w:hAnsi="宋体" w:cs="宋体"/>
          <w:color w:val="auto"/>
          <w:sz w:val="22"/>
          <w:szCs w:val="22"/>
          <w:highlight w:val="none"/>
        </w:rPr>
      </w:pPr>
      <w:r>
        <w:rPr>
          <w:rFonts w:hint="eastAsia" w:hAnsi="宋体" w:cs="宋体"/>
          <w:color w:val="auto"/>
          <w:sz w:val="22"/>
          <w:szCs w:val="22"/>
          <w:highlight w:val="none"/>
        </w:rPr>
        <w:t>9）存在串标、抬标或弄虚作假情况的；串标认定按以下情况：</w:t>
      </w:r>
    </w:p>
    <w:p>
      <w:pPr>
        <w:snapToGrid w:val="0"/>
        <w:spacing w:line="420" w:lineRule="exact"/>
        <w:ind w:firstLine="569" w:firstLineChars="259"/>
        <w:rPr>
          <w:rFonts w:hint="eastAsia" w:ascii="宋体" w:hAnsi="宋体" w:cs="宋体"/>
          <w:color w:val="auto"/>
          <w:szCs w:val="22"/>
          <w:highlight w:val="none"/>
        </w:rPr>
      </w:pPr>
      <w:r>
        <w:rPr>
          <w:rFonts w:hint="eastAsia" w:ascii="宋体" w:hAnsi="宋体" w:cs="宋体"/>
          <w:bCs/>
          <w:color w:val="auto"/>
          <w:szCs w:val="22"/>
          <w:highlight w:val="none"/>
        </w:rPr>
        <w:t xml:space="preserve"> （1）不同供应商的投标文件由同一单位或者个人编制；</w:t>
      </w:r>
      <w:r>
        <w:rPr>
          <w:rFonts w:hint="eastAsia" w:ascii="宋体" w:hAnsi="宋体" w:cs="宋体"/>
          <w:bCs/>
          <w:color w:val="auto"/>
          <w:szCs w:val="22"/>
          <w:highlight w:val="none"/>
        </w:rPr>
        <w:br w:type="textWrapping"/>
      </w:r>
      <w:r>
        <w:rPr>
          <w:rFonts w:hint="eastAsia" w:ascii="宋体" w:hAnsi="宋体" w:cs="宋体"/>
          <w:bCs/>
          <w:color w:val="auto"/>
          <w:szCs w:val="22"/>
          <w:highlight w:val="none"/>
        </w:rPr>
        <w:t>   （2）不同供应商委托同一单位或者个人办理投标事宜；</w:t>
      </w:r>
      <w:r>
        <w:rPr>
          <w:rFonts w:hint="eastAsia" w:ascii="宋体" w:hAnsi="宋体" w:cs="宋体"/>
          <w:bCs/>
          <w:color w:val="auto"/>
          <w:szCs w:val="22"/>
          <w:highlight w:val="none"/>
        </w:rPr>
        <w:br w:type="textWrapping"/>
      </w:r>
      <w:r>
        <w:rPr>
          <w:rFonts w:hint="eastAsia" w:ascii="宋体" w:hAnsi="宋体" w:cs="宋体"/>
          <w:bCs/>
          <w:color w:val="auto"/>
          <w:szCs w:val="22"/>
          <w:highlight w:val="none"/>
        </w:rPr>
        <w:t>   （3）不同供应商的投标文件载明的项目管理成员为同一人；</w:t>
      </w:r>
      <w:r>
        <w:rPr>
          <w:rFonts w:hint="eastAsia" w:ascii="宋体" w:hAnsi="宋体" w:cs="宋体"/>
          <w:bCs/>
          <w:color w:val="auto"/>
          <w:szCs w:val="22"/>
          <w:highlight w:val="none"/>
        </w:rPr>
        <w:br w:type="textWrapping"/>
      </w:r>
      <w:r>
        <w:rPr>
          <w:rFonts w:hint="eastAsia" w:ascii="宋体" w:hAnsi="宋体" w:cs="宋体"/>
          <w:bCs/>
          <w:color w:val="auto"/>
          <w:szCs w:val="22"/>
          <w:highlight w:val="none"/>
        </w:rPr>
        <w:t>   （4）不同供应商的投标文件异常一致或者投标报价呈规律性差异；</w:t>
      </w:r>
      <w:r>
        <w:rPr>
          <w:rFonts w:hint="eastAsia" w:ascii="宋体" w:hAnsi="宋体" w:cs="宋体"/>
          <w:bCs/>
          <w:color w:val="auto"/>
          <w:szCs w:val="22"/>
          <w:highlight w:val="none"/>
        </w:rPr>
        <w:br w:type="textWrapping"/>
      </w:r>
      <w:r>
        <w:rPr>
          <w:rFonts w:hint="eastAsia" w:ascii="宋体" w:hAnsi="宋体" w:cs="宋体"/>
          <w:bCs/>
          <w:color w:val="auto"/>
          <w:szCs w:val="22"/>
          <w:highlight w:val="none"/>
        </w:rPr>
        <w:t>   （5）不同供应商的投标文件相互混装；</w:t>
      </w:r>
      <w:r>
        <w:rPr>
          <w:rFonts w:hint="eastAsia" w:ascii="宋体" w:hAnsi="宋体" w:cs="宋体"/>
          <w:bCs/>
          <w:color w:val="auto"/>
          <w:szCs w:val="22"/>
          <w:highlight w:val="none"/>
        </w:rPr>
        <w:br w:type="textWrapping"/>
      </w:r>
      <w:r>
        <w:rPr>
          <w:rFonts w:hint="eastAsia" w:ascii="宋体" w:hAnsi="宋体" w:cs="宋体"/>
          <w:bCs/>
          <w:color w:val="auto"/>
          <w:szCs w:val="22"/>
          <w:highlight w:val="none"/>
        </w:rPr>
        <w:t>   （6）不同供应商的投标保证金从同一单位或者个人的账户转出。</w:t>
      </w:r>
    </w:p>
    <w:p>
      <w:pPr>
        <w:pStyle w:val="24"/>
        <w:adjustRightInd w:val="0"/>
        <w:snapToGrid w:val="0"/>
        <w:spacing w:line="307" w:lineRule="auto"/>
        <w:ind w:firstLine="440" w:firstLineChars="200"/>
        <w:rPr>
          <w:rFonts w:hint="eastAsia" w:hAnsi="宋体" w:cs="宋体"/>
          <w:b/>
          <w:color w:val="auto"/>
          <w:sz w:val="22"/>
          <w:szCs w:val="22"/>
          <w:highlight w:val="none"/>
          <w:u w:val="single"/>
        </w:rPr>
      </w:pPr>
      <w:r>
        <w:rPr>
          <w:rFonts w:hint="eastAsia" w:hAnsi="宋体" w:cs="宋体"/>
          <w:color w:val="auto"/>
          <w:sz w:val="22"/>
          <w:szCs w:val="22"/>
          <w:highlight w:val="none"/>
        </w:rPr>
        <w:t>10）其他经评标委员会认定的未能在实质上响应的或违反国家有关规定的投标文件。</w:t>
      </w:r>
    </w:p>
    <w:p>
      <w:pPr>
        <w:adjustRightInd w:val="0"/>
        <w:snapToGrid w:val="0"/>
        <w:spacing w:line="307" w:lineRule="auto"/>
        <w:ind w:firstLine="440" w:firstLineChars="200"/>
        <w:rPr>
          <w:rFonts w:hint="eastAsia" w:ascii="宋体" w:hAnsi="宋体" w:cs="宋体"/>
          <w:color w:val="auto"/>
          <w:szCs w:val="22"/>
          <w:highlight w:val="none"/>
        </w:rPr>
      </w:pPr>
      <w:r>
        <w:rPr>
          <w:rFonts w:hint="eastAsia" w:ascii="宋体" w:hAnsi="宋体" w:cs="宋体"/>
          <w:color w:val="auto"/>
          <w:szCs w:val="22"/>
          <w:highlight w:val="none"/>
        </w:rPr>
        <w:t>4、评标原则</w:t>
      </w:r>
    </w:p>
    <w:p>
      <w:pPr>
        <w:pStyle w:val="24"/>
        <w:adjustRightInd w:val="0"/>
        <w:snapToGrid w:val="0"/>
        <w:spacing w:line="307" w:lineRule="auto"/>
        <w:rPr>
          <w:rFonts w:hint="eastAsia" w:hAnsi="宋体" w:cs="宋体"/>
          <w:color w:val="auto"/>
          <w:sz w:val="22"/>
          <w:szCs w:val="22"/>
          <w:highlight w:val="none"/>
        </w:rPr>
      </w:pPr>
      <w:r>
        <w:rPr>
          <w:rFonts w:hint="eastAsia" w:hAnsi="宋体" w:cs="宋体"/>
          <w:color w:val="auto"/>
          <w:sz w:val="22"/>
          <w:szCs w:val="22"/>
          <w:highlight w:val="none"/>
        </w:rPr>
        <w:t xml:space="preserve">    评标委员会按照招标文件的要求和条件对投标文件进行商务和技术评估，综合比较与评价。</w:t>
      </w:r>
    </w:p>
    <w:p>
      <w:pPr>
        <w:pStyle w:val="24"/>
        <w:adjustRightInd w:val="0"/>
        <w:snapToGrid w:val="0"/>
        <w:spacing w:line="307"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评标办法具体见本招标文件第七部分。</w:t>
      </w:r>
    </w:p>
    <w:p>
      <w:pPr>
        <w:pStyle w:val="24"/>
        <w:adjustRightInd w:val="0"/>
        <w:snapToGrid w:val="0"/>
        <w:spacing w:line="307"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5、评标过程中遇到特殊情况，由评标委员会遵循公开、公正原则，采取投票方式按照少数服从多数原则决定。</w:t>
      </w:r>
    </w:p>
    <w:p>
      <w:pPr>
        <w:pStyle w:val="24"/>
        <w:adjustRightInd w:val="0"/>
        <w:snapToGrid w:val="0"/>
        <w:spacing w:line="307" w:lineRule="auto"/>
        <w:rPr>
          <w:rFonts w:hint="eastAsia" w:hAnsi="宋体" w:cs="宋体"/>
          <w:color w:val="auto"/>
          <w:sz w:val="22"/>
          <w:szCs w:val="22"/>
          <w:highlight w:val="none"/>
        </w:rPr>
      </w:pPr>
      <w:r>
        <w:rPr>
          <w:rFonts w:hint="eastAsia" w:hAnsi="宋体" w:cs="宋体"/>
          <w:color w:val="auto"/>
          <w:sz w:val="22"/>
          <w:szCs w:val="22"/>
          <w:highlight w:val="none"/>
        </w:rPr>
        <w:t>七、授予合同</w:t>
      </w:r>
    </w:p>
    <w:p>
      <w:pPr>
        <w:pStyle w:val="24"/>
        <w:adjustRightInd w:val="0"/>
        <w:snapToGrid w:val="0"/>
        <w:spacing w:line="307" w:lineRule="auto"/>
        <w:rPr>
          <w:rFonts w:hint="eastAsia" w:hAnsi="宋体" w:cs="宋体"/>
          <w:color w:val="auto"/>
          <w:sz w:val="22"/>
          <w:szCs w:val="22"/>
          <w:highlight w:val="none"/>
        </w:rPr>
      </w:pPr>
      <w:r>
        <w:rPr>
          <w:rFonts w:hint="eastAsia" w:hAnsi="宋体" w:cs="宋体"/>
          <w:color w:val="auto"/>
          <w:sz w:val="22"/>
          <w:szCs w:val="22"/>
          <w:highlight w:val="none"/>
        </w:rPr>
        <w:t xml:space="preserve">    1、决标</w:t>
      </w:r>
    </w:p>
    <w:p>
      <w:pPr>
        <w:pStyle w:val="24"/>
        <w:adjustRightInd w:val="0"/>
        <w:snapToGrid w:val="0"/>
        <w:spacing w:line="307" w:lineRule="auto"/>
        <w:rPr>
          <w:rFonts w:hint="eastAsia" w:hAnsi="宋体" w:cs="宋体"/>
          <w:color w:val="auto"/>
          <w:sz w:val="22"/>
          <w:szCs w:val="22"/>
          <w:highlight w:val="none"/>
          <w:u w:val="single"/>
        </w:rPr>
      </w:pPr>
      <w:r>
        <w:rPr>
          <w:rFonts w:hint="eastAsia" w:hAnsi="宋体" w:cs="宋体"/>
          <w:color w:val="auto"/>
          <w:sz w:val="22"/>
          <w:szCs w:val="22"/>
          <w:highlight w:val="none"/>
        </w:rPr>
        <w:t xml:space="preserve">    评标结束后，评标委员会按照招标文件确定的评标办法，根据采购人授权确定中标人。</w:t>
      </w:r>
    </w:p>
    <w:p>
      <w:pPr>
        <w:pStyle w:val="24"/>
        <w:adjustRightInd w:val="0"/>
        <w:snapToGrid w:val="0"/>
        <w:spacing w:line="307" w:lineRule="auto"/>
        <w:ind w:firstLine="435" w:firstLineChars="198"/>
        <w:rPr>
          <w:rFonts w:hint="eastAsia" w:hAnsi="宋体" w:cs="宋体"/>
          <w:color w:val="auto"/>
          <w:sz w:val="22"/>
          <w:szCs w:val="22"/>
          <w:highlight w:val="none"/>
        </w:rPr>
      </w:pPr>
      <w:r>
        <w:rPr>
          <w:rFonts w:hint="eastAsia" w:hAnsi="宋体" w:cs="宋体"/>
          <w:color w:val="auto"/>
          <w:sz w:val="22"/>
          <w:szCs w:val="22"/>
          <w:highlight w:val="none"/>
        </w:rPr>
        <w:t>2、中标通知书</w:t>
      </w:r>
    </w:p>
    <w:p>
      <w:pPr>
        <w:snapToGrid w:val="0"/>
        <w:spacing w:line="307" w:lineRule="auto"/>
        <w:ind w:firstLine="527"/>
        <w:rPr>
          <w:rFonts w:hint="eastAsia" w:ascii="宋体" w:hAnsi="宋体" w:cs="宋体"/>
          <w:color w:val="auto"/>
          <w:szCs w:val="22"/>
          <w:highlight w:val="none"/>
        </w:rPr>
      </w:pPr>
      <w:r>
        <w:rPr>
          <w:rFonts w:hint="eastAsia" w:ascii="宋体" w:hAnsi="宋体" w:cs="宋体"/>
          <w:color w:val="auto"/>
          <w:szCs w:val="22"/>
          <w:highlight w:val="none"/>
        </w:rPr>
        <w:t>2.1、招标机构在浙江省政府采购网和温州市公共资源交易网平阳县分网上公告中标结果。</w:t>
      </w:r>
    </w:p>
    <w:p>
      <w:pPr>
        <w:snapToGrid w:val="0"/>
        <w:spacing w:line="307" w:lineRule="auto"/>
        <w:ind w:firstLine="527"/>
        <w:rPr>
          <w:rFonts w:hint="eastAsia" w:ascii="宋体" w:hAnsi="宋体" w:cs="宋体"/>
          <w:color w:val="auto"/>
          <w:szCs w:val="22"/>
          <w:highlight w:val="none"/>
        </w:rPr>
      </w:pPr>
      <w:r>
        <w:rPr>
          <w:rFonts w:hint="eastAsia" w:ascii="宋体" w:hAnsi="宋体" w:cs="宋体"/>
          <w:color w:val="auto"/>
          <w:szCs w:val="22"/>
          <w:highlight w:val="none"/>
        </w:rPr>
        <w:t>2.2、中标人须在中标结果公告后三日内主动联系采购机构领取中标通知书，中标通知书对采购人和中标人具有法律约束力。中标通知书发出后，采购人改变中标结果或者中标人放弃中标的，应当承担法律责任。</w:t>
      </w:r>
    </w:p>
    <w:p>
      <w:pPr>
        <w:snapToGrid w:val="0"/>
        <w:spacing w:line="307" w:lineRule="auto"/>
        <w:ind w:firstLine="527"/>
        <w:rPr>
          <w:rFonts w:hint="eastAsia" w:ascii="宋体" w:hAnsi="宋体" w:cs="宋体"/>
          <w:color w:val="auto"/>
          <w:szCs w:val="22"/>
          <w:highlight w:val="none"/>
        </w:rPr>
      </w:pPr>
      <w:r>
        <w:rPr>
          <w:rFonts w:hint="eastAsia" w:ascii="宋体" w:hAnsi="宋体" w:cs="宋体"/>
          <w:color w:val="auto"/>
          <w:szCs w:val="22"/>
          <w:highlight w:val="none"/>
        </w:rPr>
        <w:t>3、评标委员会对未中标的供应商不作落标原因解释。</w:t>
      </w:r>
    </w:p>
    <w:p>
      <w:pPr>
        <w:pStyle w:val="24"/>
        <w:adjustRightInd w:val="0"/>
        <w:snapToGrid w:val="0"/>
        <w:spacing w:line="307" w:lineRule="auto"/>
        <w:rPr>
          <w:rFonts w:hint="eastAsia" w:hAnsi="宋体" w:cs="宋体"/>
          <w:color w:val="auto"/>
          <w:sz w:val="22"/>
          <w:szCs w:val="22"/>
          <w:highlight w:val="none"/>
        </w:rPr>
      </w:pPr>
      <w:r>
        <w:rPr>
          <w:rFonts w:hint="eastAsia" w:hAnsi="宋体" w:cs="宋体"/>
          <w:color w:val="auto"/>
          <w:sz w:val="22"/>
          <w:szCs w:val="22"/>
          <w:highlight w:val="none"/>
        </w:rPr>
        <w:t xml:space="preserve">    4、签订合同</w:t>
      </w:r>
    </w:p>
    <w:p>
      <w:pPr>
        <w:snapToGrid w:val="0"/>
        <w:spacing w:line="307" w:lineRule="auto"/>
        <w:ind w:firstLine="527"/>
        <w:rPr>
          <w:rFonts w:hint="eastAsia" w:ascii="宋体" w:hAnsi="宋体" w:cs="宋体"/>
          <w:color w:val="auto"/>
          <w:szCs w:val="22"/>
          <w:highlight w:val="none"/>
        </w:rPr>
      </w:pPr>
      <w:r>
        <w:rPr>
          <w:rFonts w:hint="eastAsia" w:ascii="宋体" w:hAnsi="宋体" w:cs="宋体"/>
          <w:color w:val="auto"/>
          <w:szCs w:val="22"/>
          <w:highlight w:val="none"/>
        </w:rPr>
        <w:t>4.1、中标人领取中标通知书后三十日内到采购人处与采购人签订合同。中标人未经采购人许可，在规定时间内未到采购人处与采购人签订合同，则视为拒签合同。</w:t>
      </w:r>
    </w:p>
    <w:p>
      <w:pPr>
        <w:snapToGrid w:val="0"/>
        <w:spacing w:line="307" w:lineRule="auto"/>
        <w:ind w:firstLine="527"/>
        <w:rPr>
          <w:rFonts w:hint="eastAsia" w:ascii="宋体" w:hAnsi="宋体" w:cs="宋体"/>
          <w:color w:val="auto"/>
          <w:szCs w:val="22"/>
          <w:highlight w:val="none"/>
        </w:rPr>
      </w:pPr>
      <w:r>
        <w:rPr>
          <w:rFonts w:hint="eastAsia" w:ascii="宋体" w:hAnsi="宋体" w:cs="宋体"/>
          <w:color w:val="auto"/>
          <w:szCs w:val="22"/>
          <w:highlight w:val="none"/>
        </w:rPr>
        <w:t>4.2、招标文件、中标人的投标文件及投标修改文件、评标过程中有关澄清文件及经双方签字的询标纪要（承诺）和中标通知书均作为合同附件。</w:t>
      </w:r>
    </w:p>
    <w:p>
      <w:pPr>
        <w:snapToGrid w:val="0"/>
        <w:spacing w:line="307" w:lineRule="auto"/>
        <w:ind w:firstLine="527"/>
        <w:rPr>
          <w:rFonts w:hint="eastAsia" w:ascii="宋体" w:hAnsi="宋体" w:cs="宋体"/>
          <w:color w:val="auto"/>
          <w:szCs w:val="22"/>
          <w:highlight w:val="none"/>
        </w:rPr>
      </w:pPr>
      <w:r>
        <w:rPr>
          <w:rFonts w:hint="eastAsia" w:ascii="宋体" w:hAnsi="宋体" w:cs="宋体"/>
          <w:color w:val="auto"/>
          <w:szCs w:val="22"/>
          <w:highlight w:val="none"/>
        </w:rPr>
        <w:t>4.3 拒签合同的责任</w:t>
      </w:r>
    </w:p>
    <w:p>
      <w:pPr>
        <w:snapToGrid w:val="0"/>
        <w:spacing w:line="307" w:lineRule="auto"/>
        <w:ind w:firstLine="527"/>
        <w:rPr>
          <w:rFonts w:hint="eastAsia" w:ascii="宋体" w:hAnsi="宋体" w:cs="宋体"/>
          <w:color w:val="auto"/>
          <w:szCs w:val="22"/>
          <w:highlight w:val="none"/>
        </w:rPr>
      </w:pPr>
      <w:r>
        <w:rPr>
          <w:rFonts w:hint="eastAsia" w:ascii="宋体" w:hAnsi="宋体" w:cs="宋体"/>
          <w:color w:val="auto"/>
          <w:szCs w:val="22"/>
          <w:highlight w:val="none"/>
        </w:rPr>
        <w:t>中标供应商接到中标通知书后，在规定时间内借故否认已经承诺的条件而拒签合同或拒交履约保证金，以投标违约处理，其投标保证金不予退回，并赔偿采购人由此造成的直接经济损失；采购人重新组织招标的，所需费用由原中标供应商承担。采购人无故不与供应商签订合同的应当承担相应的法律责任。</w:t>
      </w:r>
    </w:p>
    <w:p>
      <w:pPr>
        <w:pStyle w:val="24"/>
        <w:adjustRightInd w:val="0"/>
        <w:snapToGrid w:val="0"/>
        <w:spacing w:line="420" w:lineRule="exact"/>
        <w:ind w:firstLine="220" w:firstLineChars="100"/>
        <w:rPr>
          <w:rFonts w:hint="eastAsia" w:hAnsi="宋体" w:cs="宋体"/>
          <w:color w:val="auto"/>
          <w:sz w:val="22"/>
          <w:szCs w:val="22"/>
          <w:highlight w:val="none"/>
        </w:rPr>
      </w:pPr>
      <w:r>
        <w:rPr>
          <w:rFonts w:hint="eastAsia" w:hAnsi="宋体" w:cs="宋体"/>
          <w:color w:val="auto"/>
          <w:sz w:val="22"/>
          <w:szCs w:val="22"/>
          <w:highlight w:val="none"/>
        </w:rPr>
        <w:t xml:space="preserve">  6</w:t>
      </w:r>
      <w:r>
        <w:rPr>
          <w:rFonts w:hint="eastAsia" w:hAnsi="宋体" w:cs="宋体"/>
          <w:color w:val="auto"/>
          <w:sz w:val="22"/>
          <w:szCs w:val="22"/>
          <w:highlight w:val="none"/>
          <w:lang w:val="zh-CN"/>
        </w:rPr>
        <w:t>、</w:t>
      </w:r>
      <w:r>
        <w:rPr>
          <w:rFonts w:hint="eastAsia" w:hAnsi="宋体" w:cs="宋体"/>
          <w:color w:val="auto"/>
          <w:sz w:val="22"/>
          <w:szCs w:val="22"/>
          <w:highlight w:val="none"/>
        </w:rPr>
        <w:t>招标代理服务费</w:t>
      </w:r>
    </w:p>
    <w:p>
      <w:pPr>
        <w:autoSpaceDE w:val="0"/>
        <w:autoSpaceDN w:val="0"/>
        <w:adjustRightInd w:val="0"/>
        <w:snapToGrid w:val="0"/>
        <w:spacing w:line="420" w:lineRule="exact"/>
        <w:ind w:firstLine="468" w:firstLineChars="212"/>
        <w:textAlignment w:val="bottom"/>
        <w:rPr>
          <w:rFonts w:hint="eastAsia" w:ascii="宋体" w:hAnsi="宋体" w:cs="宋体"/>
          <w:color w:val="auto"/>
          <w:szCs w:val="22"/>
          <w:highlight w:val="none"/>
        </w:rPr>
      </w:pPr>
      <w:r>
        <w:rPr>
          <w:rFonts w:hint="eastAsia" w:ascii="宋体" w:hAnsi="宋体" w:cs="宋体"/>
          <w:b/>
          <w:color w:val="auto"/>
          <w:szCs w:val="22"/>
          <w:highlight w:val="none"/>
        </w:rPr>
        <w:t>6.1中标供应商在领取中标通知书前须向招标代理机构支付招标代理服务费</w:t>
      </w:r>
      <w:r>
        <w:rPr>
          <w:rFonts w:hint="eastAsia" w:ascii="宋体" w:hAnsi="宋体" w:cs="宋体"/>
          <w:b/>
          <w:color w:val="auto"/>
          <w:szCs w:val="22"/>
          <w:highlight w:val="none"/>
          <w:lang w:val="en-US" w:eastAsia="zh-CN"/>
        </w:rPr>
        <w:t>标项招标代理服务费（不含专家评审费），标项一3000元整</w:t>
      </w:r>
      <w:r>
        <w:rPr>
          <w:rFonts w:hint="eastAsia" w:ascii="宋体" w:hAnsi="宋体" w:cs="宋体"/>
          <w:b/>
          <w:color w:val="auto"/>
          <w:szCs w:val="22"/>
          <w:highlight w:val="none"/>
        </w:rPr>
        <w:t>，</w:t>
      </w:r>
      <w:r>
        <w:rPr>
          <w:rFonts w:hint="eastAsia" w:ascii="宋体" w:hAnsi="宋体" w:cs="宋体"/>
          <w:b/>
          <w:color w:val="auto"/>
          <w:szCs w:val="22"/>
          <w:highlight w:val="none"/>
          <w:lang w:val="en-US" w:eastAsia="zh-CN"/>
        </w:rPr>
        <w:t>标项二7000元整</w:t>
      </w:r>
      <w:r>
        <w:rPr>
          <w:rFonts w:hint="eastAsia" w:ascii="宋体" w:hAnsi="宋体" w:cs="宋体"/>
          <w:b/>
          <w:color w:val="auto"/>
          <w:szCs w:val="22"/>
          <w:highlight w:val="none"/>
        </w:rPr>
        <w:t>，</w:t>
      </w:r>
      <w:r>
        <w:rPr>
          <w:rFonts w:hint="eastAsia" w:ascii="宋体" w:hAnsi="宋体" w:cs="宋体"/>
          <w:b/>
          <w:color w:val="auto"/>
          <w:szCs w:val="22"/>
          <w:highlight w:val="none"/>
          <w:lang w:val="en-US" w:eastAsia="zh-CN"/>
        </w:rPr>
        <w:t>标项三9800元整</w:t>
      </w:r>
      <w:r>
        <w:rPr>
          <w:rFonts w:hint="eastAsia" w:ascii="宋体" w:hAnsi="宋体" w:cs="宋体"/>
          <w:b/>
          <w:color w:val="auto"/>
          <w:szCs w:val="22"/>
          <w:highlight w:val="none"/>
        </w:rPr>
        <w:t>，由中标人在领取中标通知书之前支付给招标代理机构。招标代理服务费包含在投标总价中，不需在报价中单列。招标代理服务费汇入以下帐号：</w:t>
      </w:r>
    </w:p>
    <w:p>
      <w:pPr>
        <w:autoSpaceDE w:val="0"/>
        <w:autoSpaceDN w:val="0"/>
        <w:adjustRightInd w:val="0"/>
        <w:snapToGrid w:val="0"/>
        <w:spacing w:line="420" w:lineRule="exact"/>
        <w:ind w:firstLine="450"/>
        <w:textAlignment w:val="bottom"/>
        <w:rPr>
          <w:rFonts w:hint="eastAsia" w:ascii="宋体" w:hAnsi="宋体" w:cs="宋体"/>
          <w:b/>
          <w:color w:val="auto"/>
          <w:szCs w:val="22"/>
          <w:highlight w:val="none"/>
        </w:rPr>
      </w:pPr>
      <w:r>
        <w:rPr>
          <w:rFonts w:hint="eastAsia" w:ascii="宋体" w:hAnsi="宋体" w:cs="宋体"/>
          <w:b/>
          <w:color w:val="auto"/>
          <w:szCs w:val="22"/>
          <w:highlight w:val="none"/>
        </w:rPr>
        <w:t>招标代理服务费汇入以下账号：</w:t>
      </w:r>
    </w:p>
    <w:p>
      <w:pPr>
        <w:pStyle w:val="24"/>
        <w:adjustRightInd w:val="0"/>
        <w:snapToGrid w:val="0"/>
        <w:spacing w:line="420" w:lineRule="exact"/>
        <w:ind w:firstLine="442" w:firstLineChars="200"/>
        <w:rPr>
          <w:rFonts w:hint="eastAsia" w:hAnsi="宋体" w:cs="宋体"/>
          <w:b/>
          <w:color w:val="auto"/>
          <w:sz w:val="22"/>
          <w:szCs w:val="22"/>
          <w:highlight w:val="none"/>
        </w:rPr>
      </w:pPr>
      <w:r>
        <w:rPr>
          <w:rFonts w:hint="eastAsia" w:hAnsi="宋体" w:cs="宋体"/>
          <w:b/>
          <w:color w:val="auto"/>
          <w:sz w:val="22"/>
          <w:szCs w:val="22"/>
          <w:highlight w:val="none"/>
        </w:rPr>
        <w:t>开户银行：浙江平阳农村商业银行股份有限公司鳌江支行</w:t>
      </w:r>
    </w:p>
    <w:p>
      <w:pPr>
        <w:pStyle w:val="24"/>
        <w:adjustRightInd w:val="0"/>
        <w:snapToGrid w:val="0"/>
        <w:spacing w:line="420" w:lineRule="exact"/>
        <w:ind w:firstLine="442" w:firstLineChars="200"/>
        <w:rPr>
          <w:rFonts w:hint="eastAsia" w:hAnsi="宋体" w:cs="宋体"/>
          <w:b/>
          <w:color w:val="auto"/>
          <w:sz w:val="22"/>
          <w:szCs w:val="22"/>
          <w:highlight w:val="none"/>
        </w:rPr>
      </w:pPr>
      <w:r>
        <w:rPr>
          <w:rFonts w:hint="eastAsia" w:hAnsi="宋体" w:cs="宋体"/>
          <w:b/>
          <w:color w:val="auto"/>
          <w:sz w:val="22"/>
          <w:szCs w:val="22"/>
          <w:highlight w:val="none"/>
        </w:rPr>
        <w:t>开户名称：浙江品信工程项目管理有限公司</w:t>
      </w:r>
    </w:p>
    <w:p>
      <w:pPr>
        <w:autoSpaceDE w:val="0"/>
        <w:autoSpaceDN w:val="0"/>
        <w:adjustRightInd w:val="0"/>
        <w:snapToGrid w:val="0"/>
        <w:spacing w:line="420" w:lineRule="exact"/>
        <w:ind w:firstLine="450"/>
        <w:textAlignment w:val="bottom"/>
        <w:rPr>
          <w:rFonts w:hint="eastAsia" w:ascii="宋体" w:hAnsi="宋体" w:cs="宋体"/>
          <w:b/>
          <w:color w:val="auto"/>
          <w:szCs w:val="22"/>
          <w:highlight w:val="none"/>
        </w:rPr>
      </w:pPr>
      <w:r>
        <w:rPr>
          <w:rFonts w:hint="eastAsia" w:ascii="宋体" w:hAnsi="宋体" w:cs="宋体"/>
          <w:b/>
          <w:color w:val="auto"/>
          <w:szCs w:val="22"/>
          <w:highlight w:val="none"/>
        </w:rPr>
        <w:t>开户账号：201000173270170</w:t>
      </w:r>
    </w:p>
    <w:p>
      <w:pPr>
        <w:jc w:val="center"/>
        <w:rPr>
          <w:color w:val="000000"/>
          <w:sz w:val="32"/>
          <w:szCs w:val="32"/>
        </w:rPr>
      </w:pPr>
      <w:r>
        <w:rPr>
          <w:rFonts w:ascii="宋体" w:hAnsi="宋体" w:cs="宋体"/>
          <w:color w:val="auto"/>
          <w:sz w:val="32"/>
          <w:szCs w:val="32"/>
          <w:highlight w:val="none"/>
          <w:lang w:val="zh-CN"/>
        </w:rPr>
        <w:br w:type="page"/>
      </w:r>
      <w:r>
        <w:rPr>
          <w:rFonts w:hint="eastAsia"/>
          <w:color w:val="000000"/>
          <w:sz w:val="32"/>
          <w:szCs w:val="32"/>
          <w:lang w:val="zh-CN"/>
        </w:rPr>
        <w:t>第四部分   政府采购政策功能相关说明</w:t>
      </w:r>
    </w:p>
    <w:p>
      <w:pPr>
        <w:rPr>
          <w:color w:val="000000"/>
          <w:sz w:val="22"/>
          <w:szCs w:val="22"/>
        </w:rPr>
      </w:pPr>
    </w:p>
    <w:p>
      <w:pPr>
        <w:rPr>
          <w:color w:val="000000"/>
          <w:sz w:val="22"/>
          <w:szCs w:val="22"/>
        </w:rPr>
      </w:pPr>
      <w:r>
        <w:rPr>
          <w:rFonts w:hint="eastAsia"/>
          <w:color w:val="000000"/>
          <w:sz w:val="22"/>
          <w:szCs w:val="22"/>
        </w:rPr>
        <w:t>一、小、微企业（含监狱企业、残疾人福利性单位）扶持政策说明</w:t>
      </w:r>
    </w:p>
    <w:p>
      <w:pPr>
        <w:spacing w:line="440" w:lineRule="atLeast"/>
        <w:rPr>
          <w:color w:val="000000"/>
          <w:sz w:val="22"/>
          <w:szCs w:val="22"/>
        </w:rPr>
      </w:pPr>
      <w:r>
        <w:rPr>
          <w:rFonts w:hint="eastAsia"/>
          <w:color w:val="000000"/>
          <w:sz w:val="22"/>
          <w:szCs w:val="22"/>
        </w:rPr>
        <w:t>1、文件依据</w:t>
      </w:r>
    </w:p>
    <w:p>
      <w:pPr>
        <w:snapToGrid w:val="0"/>
        <w:spacing w:line="440" w:lineRule="atLeast"/>
        <w:rPr>
          <w:color w:val="000000"/>
          <w:sz w:val="22"/>
        </w:rPr>
      </w:pPr>
      <w:r>
        <w:rPr>
          <w:color w:val="000000"/>
          <w:sz w:val="22"/>
        </w:rPr>
        <w:t>（1）关于印发《</w:t>
      </w:r>
      <w:r>
        <w:rPr>
          <w:rFonts w:hint="eastAsia"/>
          <w:color w:val="000000"/>
          <w:sz w:val="22"/>
        </w:rPr>
        <w:t>政府采购促进中小企业发展管理办法</w:t>
      </w:r>
      <w:r>
        <w:rPr>
          <w:color w:val="000000"/>
          <w:sz w:val="22"/>
        </w:rPr>
        <w:t>》的通知（</w:t>
      </w:r>
      <w:r>
        <w:rPr>
          <w:rFonts w:hint="eastAsia"/>
          <w:color w:val="000000"/>
          <w:sz w:val="22"/>
        </w:rPr>
        <w:t>财库〔2020〕46号</w:t>
      </w:r>
      <w:r>
        <w:rPr>
          <w:color w:val="000000"/>
          <w:sz w:val="22"/>
        </w:rPr>
        <w:t>）</w:t>
      </w:r>
    </w:p>
    <w:p>
      <w:pPr>
        <w:snapToGrid w:val="0"/>
        <w:spacing w:line="440" w:lineRule="atLeast"/>
        <w:rPr>
          <w:color w:val="000000"/>
          <w:sz w:val="22"/>
        </w:rPr>
      </w:pPr>
      <w:r>
        <w:rPr>
          <w:color w:val="000000"/>
          <w:sz w:val="22"/>
        </w:rPr>
        <w:t>（</w:t>
      </w:r>
      <w:r>
        <w:rPr>
          <w:rFonts w:hint="eastAsia"/>
          <w:color w:val="000000"/>
          <w:sz w:val="22"/>
        </w:rPr>
        <w:t>2</w:t>
      </w:r>
      <w:r>
        <w:rPr>
          <w:color w:val="000000"/>
          <w:sz w:val="22"/>
        </w:rPr>
        <w:t>）浙江省财政厅、浙江省经济和信息化委员会《关于简化中小企业类别确认流程有关事项的通知》(浙财采监[2018]2号)</w:t>
      </w:r>
    </w:p>
    <w:p>
      <w:pPr>
        <w:snapToGrid w:val="0"/>
        <w:spacing w:line="440" w:lineRule="atLeast"/>
        <w:rPr>
          <w:color w:val="000000"/>
          <w:sz w:val="22"/>
        </w:rPr>
      </w:pPr>
      <w:r>
        <w:rPr>
          <w:color w:val="000000"/>
          <w:sz w:val="22"/>
        </w:rPr>
        <w:t>（</w:t>
      </w:r>
      <w:r>
        <w:rPr>
          <w:rFonts w:hint="eastAsia"/>
          <w:color w:val="000000"/>
          <w:sz w:val="22"/>
        </w:rPr>
        <w:t>3</w:t>
      </w:r>
      <w:r>
        <w:rPr>
          <w:color w:val="000000"/>
          <w:sz w:val="22"/>
        </w:rPr>
        <w:t>）浙江省省财政厅《关于开展政府采购供应商网上注册登记和诚信管理工作的通知》（浙财采监〔2010〕8号)</w:t>
      </w:r>
    </w:p>
    <w:p>
      <w:pPr>
        <w:snapToGrid w:val="0"/>
        <w:spacing w:line="440" w:lineRule="atLeast"/>
        <w:rPr>
          <w:color w:val="000000"/>
          <w:sz w:val="22"/>
        </w:rPr>
      </w:pPr>
      <w:r>
        <w:rPr>
          <w:color w:val="000000"/>
          <w:sz w:val="22"/>
        </w:rPr>
        <w:t>（</w:t>
      </w:r>
      <w:r>
        <w:rPr>
          <w:rFonts w:hint="eastAsia"/>
          <w:color w:val="000000"/>
          <w:sz w:val="22"/>
        </w:rPr>
        <w:t>4</w:t>
      </w:r>
      <w:r>
        <w:rPr>
          <w:color w:val="000000"/>
          <w:sz w:val="22"/>
        </w:rPr>
        <w:t>）《工业和信息化部、国家统计局、国家发展和改革委员会、财政部关于印发中小企业划型标准规定的通知》（工信部联企业[2011]300号）</w:t>
      </w:r>
    </w:p>
    <w:p>
      <w:pPr>
        <w:snapToGrid w:val="0"/>
        <w:spacing w:line="440" w:lineRule="atLeast"/>
        <w:rPr>
          <w:color w:val="000000"/>
          <w:sz w:val="22"/>
        </w:rPr>
      </w:pPr>
      <w:r>
        <w:rPr>
          <w:color w:val="000000"/>
          <w:sz w:val="22"/>
        </w:rPr>
        <w:t>（</w:t>
      </w:r>
      <w:r>
        <w:rPr>
          <w:rFonts w:hint="eastAsia"/>
          <w:color w:val="000000"/>
          <w:sz w:val="22"/>
        </w:rPr>
        <w:t>5</w:t>
      </w:r>
      <w:r>
        <w:rPr>
          <w:color w:val="000000"/>
          <w:sz w:val="22"/>
        </w:rPr>
        <w:t>）财政部、司法部《关于政府采购支持监狱企业发展有关问题的通知》（财库〔2014〕68号）</w:t>
      </w:r>
    </w:p>
    <w:p>
      <w:pPr>
        <w:spacing w:line="440" w:lineRule="atLeast"/>
        <w:rPr>
          <w:rFonts w:hint="eastAsia"/>
          <w:color w:val="000000"/>
          <w:sz w:val="22"/>
          <w:szCs w:val="22"/>
        </w:rPr>
      </w:pPr>
      <w:r>
        <w:rPr>
          <w:color w:val="000000"/>
          <w:sz w:val="22"/>
        </w:rPr>
        <w:t>（</w:t>
      </w:r>
      <w:r>
        <w:rPr>
          <w:rFonts w:hint="eastAsia"/>
          <w:color w:val="000000"/>
          <w:sz w:val="22"/>
        </w:rPr>
        <w:t>6</w:t>
      </w:r>
      <w:r>
        <w:rPr>
          <w:color w:val="000000"/>
          <w:sz w:val="22"/>
        </w:rPr>
        <w:t>）《财政部 民政部 中国残疾人联合会关于促进残疾人就业政府采购政策的通知》（财库〔2017〕 141号）</w:t>
      </w:r>
    </w:p>
    <w:p>
      <w:pPr>
        <w:spacing w:line="440" w:lineRule="atLeast"/>
        <w:rPr>
          <w:color w:val="000000"/>
          <w:sz w:val="22"/>
          <w:szCs w:val="22"/>
        </w:rPr>
      </w:pPr>
      <w:r>
        <w:rPr>
          <w:rFonts w:hint="eastAsia"/>
          <w:color w:val="000000"/>
          <w:sz w:val="22"/>
          <w:szCs w:val="22"/>
        </w:rPr>
        <w:t>2、享受小微企业价格折扣应具备的条件与价格折扣比例</w:t>
      </w:r>
    </w:p>
    <w:p>
      <w:pPr>
        <w:spacing w:line="440" w:lineRule="atLeast"/>
        <w:rPr>
          <w:color w:val="000000"/>
          <w:sz w:val="22"/>
          <w:szCs w:val="22"/>
        </w:rPr>
      </w:pPr>
      <w:r>
        <w:rPr>
          <w:rFonts w:hint="eastAsia"/>
          <w:color w:val="000000"/>
          <w:sz w:val="22"/>
          <w:szCs w:val="22"/>
        </w:rPr>
        <w:t>（1）符合中小企业划分标准；</w:t>
      </w:r>
      <w:r>
        <w:rPr>
          <w:rFonts w:hint="eastAsia"/>
          <w:color w:val="000000"/>
          <w:sz w:val="22"/>
          <w:szCs w:val="22"/>
        </w:rPr>
        <w:br w:type="textWrapping"/>
      </w:r>
      <w:r>
        <w:rPr>
          <w:rFonts w:hint="eastAsia"/>
          <w:color w:val="000000"/>
          <w:sz w:val="22"/>
          <w:szCs w:val="22"/>
        </w:rPr>
        <w:t>（2）提供本企业制造的货物、承担的工程或者服务，或者提供其他中小企业制造的货物。本项所称货物不包括使用大型企业注册商标的货物。</w:t>
      </w:r>
      <w:r>
        <w:rPr>
          <w:rFonts w:hint="eastAsia"/>
          <w:color w:val="000000"/>
          <w:sz w:val="22"/>
          <w:szCs w:val="22"/>
        </w:rPr>
        <w:br w:type="textWrapping"/>
      </w:r>
      <w:r>
        <w:rPr>
          <w:rFonts w:hint="eastAsia"/>
          <w:color w:val="000000"/>
          <w:sz w:val="22"/>
          <w:szCs w:val="22"/>
        </w:rPr>
        <w:t>  中小企业划分标准，是指国务院有关部门根据企业从业人员、营业收入、资产总额等指标制定的中小企业划型标准。</w:t>
      </w:r>
      <w:r>
        <w:rPr>
          <w:rFonts w:hint="eastAsia"/>
          <w:color w:val="000000"/>
          <w:sz w:val="22"/>
          <w:szCs w:val="22"/>
        </w:rPr>
        <w:br w:type="textWrapping"/>
      </w:r>
      <w:r>
        <w:rPr>
          <w:rFonts w:hint="eastAsia"/>
          <w:color w:val="000000"/>
          <w:sz w:val="22"/>
          <w:szCs w:val="22"/>
        </w:rPr>
        <w:t>  小型、微型企业提供中型企业制造的货物的，视同为中型企业。</w:t>
      </w:r>
    </w:p>
    <w:p>
      <w:pPr>
        <w:spacing w:line="440" w:lineRule="atLeast"/>
        <w:rPr>
          <w:color w:val="000000"/>
          <w:sz w:val="22"/>
          <w:szCs w:val="22"/>
          <w:u w:val="single"/>
        </w:rPr>
      </w:pPr>
      <w:r>
        <w:rPr>
          <w:rFonts w:hint="eastAsia"/>
          <w:color w:val="000000"/>
          <w:sz w:val="22"/>
          <w:szCs w:val="22"/>
          <w:u w:val="single"/>
        </w:rPr>
        <w:t>（3）本项目对小型和微型企业产品的价格给予6%的扣除，用扣除后的价格参与评审。</w:t>
      </w:r>
    </w:p>
    <w:p>
      <w:pPr>
        <w:spacing w:line="440" w:lineRule="atLeast"/>
        <w:rPr>
          <w:color w:val="000000"/>
          <w:sz w:val="22"/>
          <w:szCs w:val="22"/>
        </w:rPr>
      </w:pPr>
      <w:r>
        <w:rPr>
          <w:rFonts w:hint="eastAsia"/>
          <w:color w:val="000000"/>
          <w:sz w:val="22"/>
          <w:szCs w:val="22"/>
          <w:u w:val="single"/>
        </w:rPr>
        <w:t>3、享受小微企业价格折扣应提供以下证明材料</w:t>
      </w:r>
      <w:r>
        <w:rPr>
          <w:rFonts w:hint="eastAsia"/>
          <w:color w:val="000000"/>
          <w:sz w:val="22"/>
          <w:szCs w:val="22"/>
        </w:rPr>
        <w:t>：</w:t>
      </w:r>
    </w:p>
    <w:p>
      <w:pPr>
        <w:spacing w:line="440" w:lineRule="atLeast"/>
        <w:rPr>
          <w:b/>
          <w:color w:val="000000"/>
          <w:sz w:val="22"/>
          <w:szCs w:val="22"/>
        </w:rPr>
      </w:pPr>
      <w:r>
        <w:rPr>
          <w:rFonts w:hint="eastAsia"/>
          <w:b/>
          <w:color w:val="000000"/>
          <w:sz w:val="22"/>
          <w:szCs w:val="22"/>
        </w:rPr>
        <w:t>《中小企业声明函》（加盖供应商公章，格式见附件）</w:t>
      </w:r>
    </w:p>
    <w:p>
      <w:pPr>
        <w:spacing w:line="440" w:lineRule="atLeast"/>
        <w:rPr>
          <w:rFonts w:hint="eastAsia"/>
          <w:color w:val="000000"/>
          <w:sz w:val="22"/>
          <w:szCs w:val="22"/>
        </w:rPr>
      </w:pPr>
      <w:r>
        <w:rPr>
          <w:rFonts w:hint="eastAsia"/>
          <w:color w:val="000000"/>
          <w:sz w:val="22"/>
          <w:szCs w:val="22"/>
        </w:rPr>
        <w:t>4、</w:t>
      </w:r>
      <w:r>
        <w:rPr>
          <w:rFonts w:hint="eastAsia"/>
          <w:color w:val="000000"/>
          <w:sz w:val="22"/>
          <w:szCs w:val="22"/>
          <w:u w:val="single"/>
        </w:rPr>
        <w:t>享受监狱企业价格折扣应提供以下证明材料（投标文件报价文件标中，不提供的不享受价格折扣）</w:t>
      </w:r>
      <w:r>
        <w:rPr>
          <w:rFonts w:hint="eastAsia"/>
          <w:color w:val="000000"/>
          <w:sz w:val="22"/>
          <w:szCs w:val="22"/>
        </w:rPr>
        <w:t>：</w:t>
      </w:r>
    </w:p>
    <w:p>
      <w:pPr>
        <w:spacing w:line="440" w:lineRule="atLeast"/>
        <w:rPr>
          <w:color w:val="000000"/>
          <w:sz w:val="22"/>
          <w:szCs w:val="22"/>
        </w:rPr>
      </w:pPr>
      <w:r>
        <w:rPr>
          <w:rFonts w:hint="eastAsia"/>
          <w:color w:val="000000"/>
          <w:sz w:val="22"/>
          <w:szCs w:val="22"/>
        </w:rPr>
        <w:t>（</w:t>
      </w:r>
      <w:r>
        <w:rPr>
          <w:color w:val="000000"/>
          <w:sz w:val="22"/>
          <w:szCs w:val="22"/>
        </w:rPr>
        <w:t>1</w:t>
      </w:r>
      <w:r>
        <w:rPr>
          <w:rFonts w:hint="eastAsia"/>
          <w:color w:val="000000"/>
          <w:sz w:val="22"/>
          <w:szCs w:val="22"/>
        </w:rPr>
        <w:t>）</w:t>
      </w:r>
      <w:r>
        <w:rPr>
          <w:color w:val="000000"/>
          <w:sz w:val="22"/>
          <w:szCs w:val="22"/>
        </w:rPr>
        <w:t>监狱企业参加政府采购活动时，应当提供由省级以上监狱管理局、戒毒管理局(含新疆生产建设兵团)出具的属于监狱企业的证明文件</w:t>
      </w:r>
      <w:r>
        <w:rPr>
          <w:rFonts w:hint="eastAsia"/>
          <w:color w:val="000000"/>
          <w:sz w:val="22"/>
          <w:szCs w:val="22"/>
        </w:rPr>
        <w:t>（复印件加盖公章）</w:t>
      </w:r>
      <w:r>
        <w:rPr>
          <w:color w:val="000000"/>
          <w:sz w:val="22"/>
          <w:szCs w:val="22"/>
        </w:rPr>
        <w:t>。在政府采购活动中，监狱企业视同小型、微型企业，享受评审中价格扣除政策</w:t>
      </w:r>
      <w:r>
        <w:rPr>
          <w:rFonts w:hint="eastAsia"/>
          <w:color w:val="000000"/>
          <w:sz w:val="22"/>
          <w:szCs w:val="22"/>
        </w:rPr>
        <w:t>。</w:t>
      </w:r>
    </w:p>
    <w:p>
      <w:pPr>
        <w:spacing w:line="440" w:lineRule="atLeast"/>
        <w:rPr>
          <w:rFonts w:hint="eastAsia"/>
          <w:color w:val="000000"/>
          <w:sz w:val="22"/>
          <w:szCs w:val="22"/>
        </w:rPr>
      </w:pPr>
      <w:r>
        <w:rPr>
          <w:color w:val="000000"/>
          <w:sz w:val="22"/>
          <w:szCs w:val="22"/>
        </w:rPr>
        <w:t>5</w:t>
      </w:r>
      <w:r>
        <w:rPr>
          <w:rFonts w:hint="eastAsia"/>
          <w:color w:val="000000"/>
          <w:sz w:val="22"/>
          <w:szCs w:val="22"/>
        </w:rPr>
        <w:t>、</w:t>
      </w:r>
      <w:r>
        <w:rPr>
          <w:rFonts w:hint="eastAsia"/>
          <w:color w:val="000000"/>
          <w:sz w:val="22"/>
          <w:szCs w:val="22"/>
          <w:u w:val="single"/>
        </w:rPr>
        <w:t>享受残疾人福利性单位格折扣应提供以下证明材料（投标文件报价文件标中，不提供的不享受价格折扣）</w:t>
      </w:r>
      <w:r>
        <w:rPr>
          <w:rFonts w:hint="eastAsia"/>
          <w:color w:val="000000"/>
          <w:sz w:val="22"/>
          <w:szCs w:val="22"/>
        </w:rPr>
        <w:t>：</w:t>
      </w:r>
    </w:p>
    <w:p>
      <w:pPr>
        <w:spacing w:line="440" w:lineRule="atLeast"/>
        <w:rPr>
          <w:rFonts w:hint="eastAsia"/>
          <w:color w:val="000000"/>
          <w:sz w:val="22"/>
          <w:szCs w:val="22"/>
        </w:rPr>
      </w:pPr>
      <w:r>
        <w:rPr>
          <w:rFonts w:hint="eastAsia"/>
          <w:color w:val="000000"/>
          <w:sz w:val="22"/>
          <w:szCs w:val="22"/>
        </w:rPr>
        <w:t>（</w:t>
      </w:r>
      <w:r>
        <w:rPr>
          <w:color w:val="000000"/>
          <w:sz w:val="22"/>
          <w:szCs w:val="22"/>
        </w:rPr>
        <w:t>1</w:t>
      </w:r>
      <w:r>
        <w:rPr>
          <w:rFonts w:hint="eastAsia"/>
          <w:color w:val="000000"/>
          <w:sz w:val="22"/>
          <w:szCs w:val="22"/>
        </w:rPr>
        <w:t>）残疾人福利性单位声明函；</w:t>
      </w:r>
    </w:p>
    <w:p>
      <w:pPr>
        <w:spacing w:line="440" w:lineRule="atLeast"/>
        <w:rPr>
          <w:color w:val="000000"/>
          <w:sz w:val="22"/>
          <w:szCs w:val="22"/>
        </w:rPr>
      </w:pPr>
      <w:r>
        <w:rPr>
          <w:color w:val="000000"/>
          <w:sz w:val="22"/>
          <w:szCs w:val="22"/>
        </w:rPr>
        <w:t>6</w:t>
      </w:r>
      <w:r>
        <w:rPr>
          <w:rFonts w:hint="eastAsia"/>
          <w:color w:val="000000"/>
          <w:sz w:val="22"/>
          <w:szCs w:val="22"/>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rPr>
          <w:rFonts w:hint="eastAsia"/>
          <w:color w:val="000000"/>
          <w:sz w:val="22"/>
          <w:szCs w:val="22"/>
        </w:rPr>
      </w:pPr>
    </w:p>
    <w:p>
      <w:pPr>
        <w:snapToGrid w:val="0"/>
        <w:spacing w:line="440" w:lineRule="atLeast"/>
        <w:jc w:val="center"/>
        <w:rPr>
          <w:rFonts w:hint="eastAsia"/>
          <w:color w:val="000000"/>
          <w:sz w:val="22"/>
        </w:rPr>
      </w:pPr>
      <w:r>
        <w:rPr>
          <w:color w:val="000000"/>
          <w:sz w:val="22"/>
        </w:rPr>
        <w:t>中小企业声明函（货物）</w:t>
      </w:r>
    </w:p>
    <w:p>
      <w:pPr>
        <w:snapToGrid w:val="0"/>
        <w:spacing w:line="440" w:lineRule="atLeast"/>
        <w:ind w:firstLine="440" w:firstLineChars="200"/>
        <w:rPr>
          <w:rFonts w:hint="eastAsia"/>
          <w:color w:val="000000"/>
          <w:sz w:val="22"/>
        </w:rPr>
      </w:pPr>
      <w:r>
        <w:rPr>
          <w:color w:val="000000"/>
          <w:sz w:val="22"/>
        </w:rPr>
        <w:t>本公司（联合体）郑重声明，根据《政府采购促进中小 企业发展管理办法》（财库﹝2020﹞46 号）的规定，本公司 （联合体）参加</w:t>
      </w:r>
      <w:r>
        <w:rPr>
          <w:color w:val="000000"/>
          <w:sz w:val="22"/>
          <w:u w:val="single"/>
        </w:rPr>
        <w:t>（单位名称）</w:t>
      </w:r>
      <w:r>
        <w:rPr>
          <w:color w:val="000000"/>
          <w:sz w:val="22"/>
        </w:rPr>
        <w:t>的</w:t>
      </w:r>
      <w:r>
        <w:rPr>
          <w:color w:val="000000"/>
          <w:sz w:val="22"/>
          <w:u w:val="single"/>
        </w:rPr>
        <w:t>（项目名称）</w:t>
      </w:r>
      <w:r>
        <w:rPr>
          <w:color w:val="000000"/>
          <w:sz w:val="22"/>
        </w:rPr>
        <w:t>采购活动，提 供的货物全部由符合政策要求的中小企业制造。相关企业 （含联合体中的中小企业、签订分包意向协议的中小企业） 的具体情况如下：</w:t>
      </w:r>
    </w:p>
    <w:p>
      <w:pPr>
        <w:snapToGrid w:val="0"/>
        <w:spacing w:line="440" w:lineRule="atLeast"/>
        <w:ind w:firstLine="440" w:firstLineChars="200"/>
        <w:rPr>
          <w:color w:val="000000"/>
          <w:sz w:val="22"/>
        </w:rPr>
      </w:pPr>
      <w:r>
        <w:rPr>
          <w:color w:val="000000"/>
          <w:sz w:val="22"/>
        </w:rPr>
        <w:t xml:space="preserve"> 1. </w:t>
      </w:r>
      <w:r>
        <w:rPr>
          <w:color w:val="000000"/>
          <w:sz w:val="22"/>
          <w:u w:val="single"/>
        </w:rPr>
        <w:t>（标的名称）</w:t>
      </w:r>
      <w:r>
        <w:rPr>
          <w:color w:val="000000"/>
          <w:sz w:val="22"/>
        </w:rPr>
        <w:t>，属于</w:t>
      </w:r>
      <w:r>
        <w:rPr>
          <w:color w:val="000000"/>
          <w:sz w:val="22"/>
          <w:u w:val="single"/>
        </w:rPr>
        <w:t>（采购文件中明确的所属行业）</w:t>
      </w:r>
      <w:r>
        <w:rPr>
          <w:color w:val="000000"/>
          <w:sz w:val="22"/>
        </w:rPr>
        <w:t xml:space="preserve"> 行业；制造商为</w:t>
      </w:r>
      <w:r>
        <w:rPr>
          <w:color w:val="000000"/>
          <w:sz w:val="22"/>
          <w:u w:val="single"/>
        </w:rPr>
        <w:t>（企业名称）</w:t>
      </w:r>
      <w:r>
        <w:rPr>
          <w:color w:val="000000"/>
          <w:sz w:val="22"/>
        </w:rPr>
        <w:t>，从业人员</w:t>
      </w:r>
      <w:r>
        <w:rPr>
          <w:color w:val="000000"/>
          <w:sz w:val="22"/>
          <w:u w:val="single"/>
        </w:rPr>
        <w:t xml:space="preserve">    </w:t>
      </w:r>
      <w:r>
        <w:rPr>
          <w:color w:val="000000"/>
          <w:sz w:val="22"/>
        </w:rPr>
        <w:t>人，营业收入为</w:t>
      </w:r>
      <w:r>
        <w:rPr>
          <w:color w:val="000000"/>
          <w:sz w:val="22"/>
          <w:u w:val="single"/>
        </w:rPr>
        <w:t xml:space="preserve">      </w:t>
      </w:r>
      <w:r>
        <w:rPr>
          <w:color w:val="000000"/>
          <w:sz w:val="22"/>
        </w:rPr>
        <w:t>万元，资产总额为</w:t>
      </w:r>
      <w:r>
        <w:rPr>
          <w:color w:val="000000"/>
          <w:sz w:val="22"/>
          <w:u w:val="single"/>
        </w:rPr>
        <w:t xml:space="preserve">      </w:t>
      </w:r>
      <w:r>
        <w:rPr>
          <w:color w:val="000000"/>
          <w:sz w:val="22"/>
        </w:rPr>
        <w:t>万元</w:t>
      </w:r>
      <w:r>
        <w:rPr>
          <w:rFonts w:hint="eastAsia"/>
          <w:color w:val="000000"/>
          <w:sz w:val="22"/>
        </w:rPr>
        <w:t>（注1）</w:t>
      </w:r>
      <w:r>
        <w:rPr>
          <w:color w:val="000000"/>
          <w:sz w:val="22"/>
        </w:rPr>
        <w:t>，属于</w:t>
      </w:r>
      <w:r>
        <w:rPr>
          <w:color w:val="000000"/>
          <w:sz w:val="22"/>
          <w:u w:val="single"/>
        </w:rPr>
        <w:t>（中型企业、小型企业、微型企业）</w:t>
      </w:r>
      <w:r>
        <w:rPr>
          <w:color w:val="000000"/>
          <w:sz w:val="22"/>
        </w:rPr>
        <w:t>；</w:t>
      </w:r>
    </w:p>
    <w:p>
      <w:pPr>
        <w:snapToGrid w:val="0"/>
        <w:spacing w:line="440" w:lineRule="atLeast"/>
        <w:ind w:firstLine="440" w:firstLineChars="200"/>
        <w:rPr>
          <w:color w:val="000000"/>
          <w:sz w:val="22"/>
        </w:rPr>
      </w:pPr>
      <w:r>
        <w:rPr>
          <w:color w:val="000000"/>
          <w:sz w:val="22"/>
        </w:rPr>
        <w:t xml:space="preserve">2. </w:t>
      </w:r>
      <w:r>
        <w:rPr>
          <w:color w:val="000000"/>
          <w:sz w:val="22"/>
          <w:u w:val="single"/>
        </w:rPr>
        <w:t>（标的名称）</w:t>
      </w:r>
      <w:r>
        <w:rPr>
          <w:color w:val="000000"/>
          <w:sz w:val="22"/>
        </w:rPr>
        <w:t>，属于</w:t>
      </w:r>
      <w:r>
        <w:rPr>
          <w:color w:val="000000"/>
          <w:sz w:val="22"/>
          <w:u w:val="single"/>
        </w:rPr>
        <w:t>（采购文件中明确的所属行业）</w:t>
      </w:r>
      <w:r>
        <w:rPr>
          <w:color w:val="000000"/>
          <w:sz w:val="22"/>
        </w:rPr>
        <w:t xml:space="preserve"> 行业；制造商为</w:t>
      </w:r>
      <w:r>
        <w:rPr>
          <w:color w:val="000000"/>
          <w:sz w:val="22"/>
          <w:u w:val="single"/>
        </w:rPr>
        <w:t>（企业名称）</w:t>
      </w:r>
      <w:r>
        <w:rPr>
          <w:color w:val="000000"/>
          <w:sz w:val="22"/>
        </w:rPr>
        <w:t>，从业人员</w:t>
      </w:r>
      <w:r>
        <w:rPr>
          <w:color w:val="000000"/>
          <w:sz w:val="22"/>
          <w:u w:val="single"/>
        </w:rPr>
        <w:t xml:space="preserve">    </w:t>
      </w:r>
      <w:r>
        <w:rPr>
          <w:color w:val="000000"/>
          <w:sz w:val="22"/>
        </w:rPr>
        <w:t>人，营业收入为</w:t>
      </w:r>
      <w:r>
        <w:rPr>
          <w:color w:val="000000"/>
          <w:sz w:val="22"/>
          <w:u w:val="single"/>
        </w:rPr>
        <w:t xml:space="preserve">      </w:t>
      </w:r>
      <w:r>
        <w:rPr>
          <w:color w:val="000000"/>
          <w:sz w:val="22"/>
        </w:rPr>
        <w:t>万元，资产总额为</w:t>
      </w:r>
      <w:r>
        <w:rPr>
          <w:color w:val="000000"/>
          <w:sz w:val="22"/>
          <w:u w:val="single"/>
        </w:rPr>
        <w:t xml:space="preserve">      </w:t>
      </w:r>
      <w:r>
        <w:rPr>
          <w:color w:val="000000"/>
          <w:sz w:val="22"/>
        </w:rPr>
        <w:t>万元，属于</w:t>
      </w:r>
      <w:r>
        <w:rPr>
          <w:color w:val="000000"/>
          <w:sz w:val="22"/>
          <w:u w:val="single"/>
        </w:rPr>
        <w:t>（中型企业、小型企业、微型企业）</w:t>
      </w:r>
      <w:r>
        <w:rPr>
          <w:color w:val="000000"/>
          <w:sz w:val="22"/>
        </w:rPr>
        <w:t>；</w:t>
      </w:r>
    </w:p>
    <w:p>
      <w:pPr>
        <w:snapToGrid w:val="0"/>
        <w:spacing w:line="440" w:lineRule="atLeast"/>
        <w:ind w:firstLine="440" w:firstLineChars="200"/>
        <w:rPr>
          <w:color w:val="000000"/>
          <w:sz w:val="22"/>
        </w:rPr>
      </w:pPr>
      <w:r>
        <w:rPr>
          <w:color w:val="000000"/>
          <w:sz w:val="22"/>
        </w:rPr>
        <w:t xml:space="preserve"> …… </w:t>
      </w:r>
    </w:p>
    <w:p>
      <w:pPr>
        <w:snapToGrid w:val="0"/>
        <w:spacing w:line="440" w:lineRule="atLeast"/>
        <w:ind w:firstLine="440" w:firstLineChars="200"/>
        <w:rPr>
          <w:color w:val="000000"/>
          <w:sz w:val="22"/>
        </w:rPr>
      </w:pPr>
      <w:r>
        <w:rPr>
          <w:color w:val="000000"/>
          <w:sz w:val="22"/>
        </w:rPr>
        <w:t xml:space="preserve">以上企业，不属于大企业的分支机构，不存在控股股东为大企业的情形，也不存在与大企业的负责人为同一人的情形。 </w:t>
      </w:r>
    </w:p>
    <w:p>
      <w:pPr>
        <w:snapToGrid w:val="0"/>
        <w:spacing w:line="440" w:lineRule="atLeast"/>
        <w:ind w:firstLine="440" w:firstLineChars="200"/>
        <w:rPr>
          <w:color w:val="000000"/>
          <w:sz w:val="22"/>
        </w:rPr>
      </w:pPr>
      <w:r>
        <w:rPr>
          <w:color w:val="000000"/>
          <w:sz w:val="22"/>
        </w:rPr>
        <w:t xml:space="preserve">本企业对上述声明内容的真实性负责。如有虚假，将依 法承担相应责任。 </w:t>
      </w:r>
    </w:p>
    <w:p>
      <w:pPr>
        <w:snapToGrid w:val="0"/>
        <w:spacing w:line="440" w:lineRule="atLeast"/>
        <w:ind w:firstLine="3740" w:firstLineChars="1700"/>
        <w:rPr>
          <w:rFonts w:hint="eastAsia"/>
          <w:color w:val="000000"/>
          <w:sz w:val="22"/>
        </w:rPr>
      </w:pPr>
      <w:r>
        <w:rPr>
          <w:color w:val="000000"/>
          <w:sz w:val="22"/>
        </w:rPr>
        <w:t xml:space="preserve">企业名称（盖章）： </w:t>
      </w:r>
    </w:p>
    <w:p>
      <w:pPr>
        <w:snapToGrid w:val="0"/>
        <w:spacing w:line="440" w:lineRule="atLeast"/>
        <w:ind w:firstLine="3740" w:firstLineChars="1700"/>
        <w:rPr>
          <w:rFonts w:hint="eastAsia"/>
          <w:color w:val="000000"/>
          <w:sz w:val="22"/>
        </w:rPr>
      </w:pPr>
      <w:r>
        <w:rPr>
          <w:color w:val="000000"/>
          <w:sz w:val="22"/>
        </w:rPr>
        <w:t>日 期：</w:t>
      </w:r>
    </w:p>
    <w:p>
      <w:pPr>
        <w:spacing w:line="440" w:lineRule="atLeast"/>
        <w:rPr>
          <w:color w:val="000000"/>
          <w:sz w:val="22"/>
          <w:szCs w:val="22"/>
        </w:rPr>
      </w:pPr>
      <w:r>
        <w:rPr>
          <w:rFonts w:hint="eastAsia"/>
          <w:color w:val="000000"/>
          <w:spacing w:val="6"/>
          <w:sz w:val="22"/>
          <w:szCs w:val="22"/>
        </w:rPr>
        <w:t>（注1）</w:t>
      </w:r>
      <w:r>
        <w:rPr>
          <w:color w:val="000000"/>
          <w:spacing w:val="6"/>
          <w:sz w:val="22"/>
          <w:szCs w:val="22"/>
        </w:rPr>
        <w:t>从业人员、营业收入、资产总额填报上一年度数据，无上一年度数据的新成立企业可不填</w:t>
      </w:r>
      <w:r>
        <w:rPr>
          <w:color w:val="000000"/>
          <w:sz w:val="22"/>
          <w:szCs w:val="22"/>
        </w:rPr>
        <w:t>报。</w:t>
      </w:r>
      <w:r>
        <w:rPr>
          <w:color w:val="000000"/>
          <w:spacing w:val="6"/>
          <w:sz w:val="22"/>
          <w:szCs w:val="22"/>
        </w:rPr>
        <w:t>           </w:t>
      </w:r>
      <w:r>
        <w:rPr>
          <w:color w:val="000000"/>
          <w:sz w:val="22"/>
          <w:szCs w:val="22"/>
        </w:rPr>
        <w:t>               </w:t>
      </w:r>
      <w:r>
        <w:rPr>
          <w:rFonts w:hint="eastAsia"/>
          <w:color w:val="000000"/>
          <w:sz w:val="22"/>
          <w:szCs w:val="22"/>
        </w:rPr>
        <w:t>   　　　　　</w:t>
      </w:r>
    </w:p>
    <w:p>
      <w:pPr>
        <w:spacing w:line="588" w:lineRule="exact"/>
        <w:jc w:val="center"/>
        <w:rPr>
          <w:color w:val="000000"/>
          <w:spacing w:val="6"/>
          <w:sz w:val="22"/>
          <w:szCs w:val="22"/>
        </w:rPr>
      </w:pPr>
      <w:bookmarkStart w:id="14" w:name="OLE_LINK14"/>
      <w:bookmarkStart w:id="15" w:name="OLE_LINK13"/>
      <w:r>
        <w:rPr>
          <w:rFonts w:hint="eastAsia"/>
          <w:color w:val="000000"/>
          <w:spacing w:val="6"/>
          <w:sz w:val="22"/>
          <w:szCs w:val="22"/>
        </w:rPr>
        <w:t>残疾人福利性单位声明函</w:t>
      </w:r>
    </w:p>
    <w:bookmarkEnd w:id="14"/>
    <w:bookmarkEnd w:id="15"/>
    <w:p>
      <w:pPr>
        <w:spacing w:line="588" w:lineRule="exact"/>
        <w:rPr>
          <w:color w:val="000000"/>
          <w:spacing w:val="6"/>
          <w:sz w:val="22"/>
          <w:szCs w:val="22"/>
        </w:rPr>
      </w:pPr>
    </w:p>
    <w:p>
      <w:pPr>
        <w:spacing w:line="588" w:lineRule="exact"/>
        <w:ind w:firstLine="464" w:firstLineChars="200"/>
        <w:rPr>
          <w:color w:val="000000"/>
          <w:spacing w:val="6"/>
          <w:sz w:val="22"/>
          <w:szCs w:val="22"/>
        </w:rPr>
      </w:pPr>
      <w:r>
        <w:rPr>
          <w:rFonts w:hint="eastAsia"/>
          <w:color w:val="000000"/>
          <w:spacing w:val="6"/>
          <w:sz w:val="22"/>
          <w:szCs w:val="22"/>
        </w:rPr>
        <w:t>本单位郑重声明，根据《财政部 民政部 中国残疾人联合会关于促进残疾人就业政府采购政策的通知》（财库</w:t>
      </w:r>
      <w:r>
        <w:rPr>
          <w:rFonts w:hint="eastAsia"/>
          <w:color w:val="000000"/>
          <w:sz w:val="22"/>
          <w:szCs w:val="22"/>
        </w:rPr>
        <w:t>〔2017〕 141</w:t>
      </w:r>
      <w:r>
        <w:rPr>
          <w:rFonts w:hint="eastAsia"/>
          <w:color w:val="000000"/>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color w:val="000000"/>
          <w:spacing w:val="6"/>
          <w:sz w:val="22"/>
          <w:szCs w:val="22"/>
        </w:rPr>
      </w:pPr>
      <w:r>
        <w:rPr>
          <w:rFonts w:hint="eastAsia"/>
          <w:color w:val="000000"/>
          <w:spacing w:val="6"/>
          <w:sz w:val="22"/>
          <w:szCs w:val="22"/>
        </w:rPr>
        <w:t>本单位对上述声明的真实性负责。如有虚假，将依法承担相应责任。</w:t>
      </w:r>
    </w:p>
    <w:p>
      <w:pPr>
        <w:spacing w:line="588" w:lineRule="exact"/>
        <w:ind w:firstLine="464" w:firstLineChars="200"/>
        <w:rPr>
          <w:color w:val="000000"/>
          <w:spacing w:val="6"/>
          <w:sz w:val="22"/>
          <w:szCs w:val="22"/>
        </w:rPr>
      </w:pPr>
    </w:p>
    <w:p>
      <w:pPr>
        <w:spacing w:line="588" w:lineRule="exact"/>
        <w:ind w:firstLine="464" w:firstLineChars="200"/>
        <w:rPr>
          <w:color w:val="000000"/>
          <w:spacing w:val="6"/>
          <w:sz w:val="22"/>
          <w:szCs w:val="22"/>
        </w:rPr>
      </w:pPr>
    </w:p>
    <w:p>
      <w:pPr>
        <w:tabs>
          <w:tab w:val="left" w:pos="4860"/>
        </w:tabs>
        <w:spacing w:line="588" w:lineRule="exact"/>
        <w:ind w:right="1560" w:firstLine="464" w:firstLineChars="200"/>
        <w:jc w:val="center"/>
        <w:rPr>
          <w:color w:val="000000"/>
          <w:spacing w:val="6"/>
          <w:sz w:val="22"/>
          <w:szCs w:val="22"/>
        </w:rPr>
      </w:pPr>
      <w:r>
        <w:rPr>
          <w:rFonts w:hint="eastAsia"/>
          <w:color w:val="000000"/>
          <w:spacing w:val="6"/>
          <w:sz w:val="22"/>
          <w:szCs w:val="22"/>
        </w:rPr>
        <w:t xml:space="preserve">               单位名称（盖章）：</w:t>
      </w:r>
    </w:p>
    <w:p>
      <w:pPr>
        <w:tabs>
          <w:tab w:val="left" w:pos="4860"/>
        </w:tabs>
        <w:spacing w:line="588" w:lineRule="exact"/>
        <w:ind w:right="1560" w:firstLine="464" w:firstLineChars="200"/>
        <w:jc w:val="center"/>
        <w:rPr>
          <w:color w:val="000000"/>
          <w:spacing w:val="6"/>
          <w:sz w:val="22"/>
          <w:szCs w:val="22"/>
        </w:rPr>
      </w:pPr>
      <w:r>
        <w:rPr>
          <w:rFonts w:hint="eastAsia"/>
          <w:color w:val="000000"/>
          <w:spacing w:val="6"/>
          <w:sz w:val="22"/>
          <w:szCs w:val="22"/>
        </w:rPr>
        <w:t xml:space="preserve">       日  期：</w:t>
      </w:r>
    </w:p>
    <w:p>
      <w:pPr>
        <w:tabs>
          <w:tab w:val="left" w:pos="4860"/>
        </w:tabs>
        <w:spacing w:line="588" w:lineRule="exact"/>
        <w:ind w:right="1560"/>
        <w:rPr>
          <w:color w:val="000000"/>
          <w:sz w:val="22"/>
          <w:szCs w:val="22"/>
        </w:rPr>
      </w:pPr>
      <w:r>
        <w:rPr>
          <w:rFonts w:hint="eastAsia"/>
          <w:color w:val="000000"/>
          <w:sz w:val="22"/>
          <w:szCs w:val="22"/>
        </w:rPr>
        <w:t>备注说明：</w:t>
      </w:r>
    </w:p>
    <w:p>
      <w:pPr>
        <w:tabs>
          <w:tab w:val="left" w:pos="4860"/>
        </w:tabs>
        <w:spacing w:line="588" w:lineRule="exact"/>
        <w:ind w:right="1560"/>
        <w:rPr>
          <w:color w:val="000000"/>
          <w:sz w:val="22"/>
          <w:szCs w:val="22"/>
        </w:rPr>
      </w:pPr>
      <w:r>
        <w:rPr>
          <w:rFonts w:hint="eastAsia"/>
          <w:color w:val="000000"/>
          <w:sz w:val="22"/>
          <w:szCs w:val="22"/>
        </w:rPr>
        <w:t>1、如中标，将在中标公示中将此残疾人福利性单位声明函予以公示，接受社会监督；</w:t>
      </w:r>
    </w:p>
    <w:p>
      <w:pPr>
        <w:tabs>
          <w:tab w:val="left" w:pos="4860"/>
        </w:tabs>
        <w:spacing w:line="588" w:lineRule="exact"/>
        <w:ind w:right="1560"/>
        <w:rPr>
          <w:rFonts w:hint="eastAsia"/>
          <w:color w:val="000000"/>
          <w:spacing w:val="6"/>
          <w:sz w:val="22"/>
          <w:szCs w:val="22"/>
        </w:rPr>
      </w:pPr>
      <w:r>
        <w:rPr>
          <w:color w:val="000000"/>
          <w:sz w:val="22"/>
          <w:szCs w:val="22"/>
        </w:rPr>
        <w:t>2</w:t>
      </w:r>
      <w:r>
        <w:rPr>
          <w:rFonts w:hint="eastAsia"/>
          <w:color w:val="000000"/>
          <w:sz w:val="22"/>
          <w:szCs w:val="22"/>
        </w:rPr>
        <w:t>、供应商提供的《残疾人福利性单位声明函》与事实不符的，依照《政府采购法》第七十七条第一款的规定追究法律责任。</w:t>
      </w:r>
    </w:p>
    <w:p>
      <w:pPr>
        <w:tabs>
          <w:tab w:val="left" w:pos="4860"/>
        </w:tabs>
        <w:spacing w:line="588" w:lineRule="exact"/>
        <w:ind w:right="1560"/>
        <w:rPr>
          <w:color w:val="000000"/>
          <w:sz w:val="22"/>
          <w:szCs w:val="22"/>
        </w:rPr>
      </w:pPr>
    </w:p>
    <w:p>
      <w:pPr>
        <w:tabs>
          <w:tab w:val="left" w:pos="4860"/>
        </w:tabs>
        <w:spacing w:line="588" w:lineRule="exact"/>
        <w:ind w:right="1560"/>
        <w:rPr>
          <w:color w:val="000000"/>
          <w:sz w:val="22"/>
          <w:szCs w:val="22"/>
        </w:rPr>
      </w:pPr>
      <w:r>
        <w:rPr>
          <w:rFonts w:hint="eastAsia"/>
          <w:color w:val="000000"/>
          <w:sz w:val="22"/>
          <w:szCs w:val="22"/>
        </w:rPr>
        <w:t>二、节能、环保产品优先（强制）采购政策说明</w:t>
      </w:r>
    </w:p>
    <w:p>
      <w:pPr>
        <w:tabs>
          <w:tab w:val="left" w:pos="4860"/>
        </w:tabs>
        <w:spacing w:line="588" w:lineRule="exact"/>
        <w:ind w:right="1560"/>
        <w:rPr>
          <w:color w:val="000000"/>
          <w:sz w:val="22"/>
          <w:szCs w:val="22"/>
        </w:rPr>
      </w:pPr>
      <w:r>
        <w:rPr>
          <w:rFonts w:hint="eastAsia"/>
          <w:color w:val="000000"/>
          <w:sz w:val="22"/>
          <w:szCs w:val="22"/>
        </w:rPr>
        <w:t>1、政策依据</w:t>
      </w:r>
    </w:p>
    <w:p>
      <w:pPr>
        <w:tabs>
          <w:tab w:val="left" w:pos="4860"/>
        </w:tabs>
        <w:spacing w:line="588" w:lineRule="exact"/>
        <w:ind w:right="1560"/>
        <w:rPr>
          <w:color w:val="000000"/>
          <w:sz w:val="22"/>
          <w:szCs w:val="22"/>
        </w:rPr>
      </w:pPr>
      <w:r>
        <w:rPr>
          <w:rFonts w:hint="eastAsia"/>
          <w:color w:val="000000"/>
          <w:sz w:val="22"/>
          <w:szCs w:val="22"/>
        </w:rPr>
        <w:t>（一）《国务院办公厅关于建立政府强制采购节能产品制度的通知》(国办发[2007]51号)</w:t>
      </w:r>
    </w:p>
    <w:p>
      <w:pPr>
        <w:tabs>
          <w:tab w:val="left" w:pos="4860"/>
        </w:tabs>
        <w:spacing w:line="588" w:lineRule="exact"/>
        <w:ind w:right="1560"/>
        <w:rPr>
          <w:color w:val="000000"/>
          <w:sz w:val="22"/>
          <w:szCs w:val="22"/>
        </w:rPr>
      </w:pPr>
      <w:r>
        <w:rPr>
          <w:rFonts w:hint="eastAsia"/>
          <w:color w:val="000000"/>
          <w:sz w:val="22"/>
          <w:szCs w:val="22"/>
        </w:rPr>
        <w:t>（二）财政部、发展改革委发布的《节能产品政府采购实施意见》(财库[2004]185号)</w:t>
      </w:r>
    </w:p>
    <w:p>
      <w:pPr>
        <w:tabs>
          <w:tab w:val="left" w:pos="4860"/>
        </w:tabs>
        <w:spacing w:line="588" w:lineRule="exact"/>
        <w:ind w:right="1560"/>
        <w:rPr>
          <w:color w:val="000000"/>
          <w:sz w:val="22"/>
          <w:szCs w:val="22"/>
        </w:rPr>
      </w:pPr>
      <w:r>
        <w:rPr>
          <w:rFonts w:hint="eastAsia"/>
          <w:color w:val="000000"/>
          <w:sz w:val="22"/>
          <w:szCs w:val="22"/>
        </w:rPr>
        <w:t>（三）财政部、原环保总局印发的《环境标志产品政府采购实施的意见》（财库 [2006]90号）</w:t>
      </w:r>
    </w:p>
    <w:p>
      <w:pPr>
        <w:tabs>
          <w:tab w:val="left" w:pos="4860"/>
        </w:tabs>
        <w:spacing w:line="588" w:lineRule="exact"/>
        <w:ind w:right="1560"/>
        <w:rPr>
          <w:color w:val="000000"/>
          <w:sz w:val="22"/>
          <w:szCs w:val="22"/>
        </w:rPr>
      </w:pPr>
      <w:r>
        <w:rPr>
          <w:rFonts w:hint="eastAsia"/>
          <w:color w:val="000000"/>
          <w:sz w:val="22"/>
          <w:szCs w:val="22"/>
        </w:rPr>
        <w:t>2、供应商投标货物属于节能、环保优先（强制）采购范围的，须提供相关证明材料。</w:t>
      </w:r>
    </w:p>
    <w:p>
      <w:pPr>
        <w:tabs>
          <w:tab w:val="left" w:pos="4860"/>
        </w:tabs>
        <w:spacing w:line="588" w:lineRule="exact"/>
        <w:ind w:right="1560"/>
        <w:rPr>
          <w:rFonts w:hint="eastAsia" w:ascii="宋体" w:hAnsi="宋体" w:cs="宋体"/>
          <w:color w:val="auto"/>
          <w:szCs w:val="22"/>
          <w:highlight w:val="none"/>
        </w:rPr>
      </w:pPr>
    </w:p>
    <w:p>
      <w:pPr>
        <w:autoSpaceDE w:val="0"/>
        <w:autoSpaceDN w:val="0"/>
        <w:adjustRightInd w:val="0"/>
        <w:snapToGrid w:val="0"/>
        <w:spacing w:line="420" w:lineRule="exact"/>
        <w:textAlignment w:val="bottom"/>
        <w:rPr>
          <w:rFonts w:hint="eastAsia" w:ascii="宋体" w:hAnsi="宋体" w:cs="宋体"/>
          <w:b/>
          <w:color w:val="auto"/>
          <w:sz w:val="32"/>
          <w:szCs w:val="32"/>
          <w:highlight w:val="none"/>
        </w:rPr>
      </w:pPr>
    </w:p>
    <w:p>
      <w:pPr>
        <w:autoSpaceDE w:val="0"/>
        <w:autoSpaceDN w:val="0"/>
        <w:adjustRightInd w:val="0"/>
        <w:snapToGrid w:val="0"/>
        <w:spacing w:line="420" w:lineRule="exact"/>
        <w:jc w:val="center"/>
        <w:textAlignment w:val="bottom"/>
        <w:rPr>
          <w:rFonts w:hint="eastAsia" w:ascii="宋体" w:hAnsi="宋体" w:cs="宋体"/>
          <w:b/>
          <w:color w:val="auto"/>
          <w:sz w:val="32"/>
          <w:szCs w:val="32"/>
          <w:highlight w:val="none"/>
        </w:rPr>
      </w:pPr>
    </w:p>
    <w:p>
      <w:pPr>
        <w:autoSpaceDE w:val="0"/>
        <w:autoSpaceDN w:val="0"/>
        <w:adjustRightInd w:val="0"/>
        <w:snapToGrid w:val="0"/>
        <w:spacing w:line="420" w:lineRule="exact"/>
        <w:jc w:val="center"/>
        <w:textAlignment w:val="bottom"/>
        <w:rPr>
          <w:rFonts w:hint="eastAsia" w:ascii="宋体" w:hAnsi="宋体" w:cs="宋体"/>
          <w:b/>
          <w:color w:val="auto"/>
          <w:sz w:val="32"/>
          <w:szCs w:val="32"/>
          <w:highlight w:val="none"/>
        </w:rPr>
      </w:pPr>
    </w:p>
    <w:p>
      <w:pPr>
        <w:pStyle w:val="21"/>
        <w:spacing w:before="120" w:after="120"/>
        <w:ind w:left="447" w:hanging="447"/>
        <w:rPr>
          <w:rFonts w:hint="eastAsia"/>
          <w:color w:val="auto"/>
          <w:highlight w:val="none"/>
        </w:rPr>
      </w:pPr>
    </w:p>
    <w:p>
      <w:pPr>
        <w:pStyle w:val="21"/>
        <w:spacing w:before="120" w:after="120"/>
        <w:ind w:left="447" w:hanging="447"/>
        <w:rPr>
          <w:rFonts w:hint="eastAsia"/>
          <w:color w:val="auto"/>
          <w:highlight w:val="none"/>
        </w:rPr>
      </w:pPr>
    </w:p>
    <w:p>
      <w:pPr>
        <w:pStyle w:val="21"/>
        <w:spacing w:before="120" w:after="120"/>
        <w:ind w:left="447" w:hanging="447"/>
        <w:rPr>
          <w:rFonts w:hint="eastAsia"/>
          <w:color w:val="auto"/>
          <w:highlight w:val="none"/>
        </w:rPr>
      </w:pPr>
    </w:p>
    <w:p>
      <w:pPr>
        <w:pStyle w:val="21"/>
        <w:spacing w:before="120" w:after="120"/>
        <w:ind w:left="447" w:hanging="447"/>
        <w:rPr>
          <w:rFonts w:hint="eastAsia"/>
          <w:color w:val="auto"/>
          <w:highlight w:val="none"/>
        </w:rPr>
      </w:pPr>
    </w:p>
    <w:p>
      <w:pPr>
        <w:pStyle w:val="21"/>
        <w:spacing w:before="120" w:after="120"/>
        <w:ind w:left="447" w:hanging="447"/>
        <w:rPr>
          <w:rFonts w:hint="eastAsia"/>
          <w:color w:val="auto"/>
          <w:highlight w:val="none"/>
        </w:rPr>
      </w:pPr>
    </w:p>
    <w:p>
      <w:pPr>
        <w:pStyle w:val="21"/>
        <w:spacing w:before="120" w:after="120"/>
        <w:ind w:left="447" w:hanging="447"/>
        <w:rPr>
          <w:rFonts w:hint="eastAsia"/>
          <w:color w:val="auto"/>
          <w:highlight w:val="none"/>
        </w:rPr>
      </w:pPr>
    </w:p>
    <w:p>
      <w:pPr>
        <w:pStyle w:val="21"/>
        <w:spacing w:before="120" w:after="120"/>
        <w:ind w:left="447" w:hanging="447"/>
        <w:rPr>
          <w:rFonts w:hint="eastAsia"/>
          <w:color w:val="auto"/>
          <w:highlight w:val="none"/>
        </w:rPr>
      </w:pPr>
    </w:p>
    <w:p>
      <w:pPr>
        <w:pStyle w:val="21"/>
        <w:spacing w:before="120" w:after="120"/>
        <w:ind w:left="447" w:hanging="447"/>
        <w:rPr>
          <w:rFonts w:hint="eastAsia"/>
          <w:color w:val="auto"/>
          <w:highlight w:val="none"/>
        </w:rPr>
      </w:pPr>
    </w:p>
    <w:p>
      <w:pPr>
        <w:pStyle w:val="21"/>
        <w:spacing w:before="120" w:after="120"/>
        <w:ind w:left="447" w:hanging="447"/>
        <w:rPr>
          <w:rFonts w:hint="eastAsia"/>
          <w:color w:val="auto"/>
          <w:highlight w:val="none"/>
        </w:rPr>
      </w:pPr>
    </w:p>
    <w:p>
      <w:pPr>
        <w:pStyle w:val="21"/>
        <w:spacing w:before="120" w:after="120"/>
        <w:ind w:left="447" w:hanging="447"/>
        <w:rPr>
          <w:rFonts w:hint="eastAsia"/>
          <w:color w:val="auto"/>
          <w:highlight w:val="none"/>
        </w:rPr>
      </w:pPr>
    </w:p>
    <w:p>
      <w:pPr>
        <w:pStyle w:val="21"/>
        <w:spacing w:before="120" w:after="120"/>
        <w:ind w:left="447" w:hanging="447"/>
        <w:rPr>
          <w:rFonts w:hint="eastAsia"/>
          <w:color w:val="auto"/>
          <w:highlight w:val="none"/>
        </w:rPr>
      </w:pPr>
    </w:p>
    <w:p>
      <w:pPr>
        <w:autoSpaceDE w:val="0"/>
        <w:autoSpaceDN w:val="0"/>
        <w:adjustRightInd w:val="0"/>
        <w:snapToGrid w:val="0"/>
        <w:spacing w:line="460" w:lineRule="atLeast"/>
        <w:ind w:firstLine="1965" w:firstLineChars="546"/>
        <w:textAlignment w:val="bottom"/>
        <w:rPr>
          <w:rFonts w:hint="eastAsia"/>
          <w:color w:val="auto"/>
          <w:sz w:val="32"/>
          <w:highlight w:val="none"/>
        </w:rPr>
      </w:pPr>
      <w:r>
        <w:rPr>
          <w:rFonts w:hint="eastAsia"/>
          <w:color w:val="auto"/>
          <w:sz w:val="36"/>
          <w:highlight w:val="none"/>
        </w:rPr>
        <w:t>第五部分     合同格式（仅供参考）</w:t>
      </w:r>
    </w:p>
    <w:p>
      <w:pPr>
        <w:pStyle w:val="3"/>
        <w:rPr>
          <w:rFonts w:hint="eastAsia" w:ascii="黑体" w:hAnsi="Arial" w:eastAsia="黑体" w:cs="Arial"/>
          <w:color w:val="auto"/>
          <w:sz w:val="36"/>
          <w:szCs w:val="36"/>
          <w:highlight w:val="none"/>
        </w:rPr>
      </w:pPr>
    </w:p>
    <w:p>
      <w:pPr>
        <w:pStyle w:val="24"/>
        <w:snapToGrid w:val="0"/>
        <w:spacing w:line="400" w:lineRule="exact"/>
        <w:jc w:val="left"/>
        <w:rPr>
          <w:rFonts w:hint="eastAsia" w:hAnsi="宋体"/>
          <w:color w:val="auto"/>
          <w:sz w:val="24"/>
          <w:highlight w:val="none"/>
        </w:rPr>
      </w:pPr>
      <w:r>
        <w:rPr>
          <w:rFonts w:hint="eastAsia" w:hAnsi="宋体"/>
          <w:color w:val="auto"/>
          <w:sz w:val="22"/>
          <w:szCs w:val="22"/>
          <w:highlight w:val="none"/>
        </w:rPr>
        <w:t>说明：如甲、乙双方同意，合同格式也可以按照其他形式。但合同条款的基本内容应与本合同要求的内容相一致。</w:t>
      </w:r>
    </w:p>
    <w:p>
      <w:pPr>
        <w:pStyle w:val="24"/>
        <w:snapToGrid w:val="0"/>
        <w:spacing w:line="400" w:lineRule="exact"/>
        <w:rPr>
          <w:rFonts w:hint="eastAsia" w:hAnsi="宋体"/>
          <w:color w:val="auto"/>
          <w:sz w:val="22"/>
          <w:szCs w:val="22"/>
          <w:highlight w:val="none"/>
        </w:rPr>
      </w:pPr>
      <w:r>
        <w:rPr>
          <w:rFonts w:hint="eastAsia" w:hAnsi="宋体"/>
          <w:color w:val="auto"/>
          <w:sz w:val="22"/>
          <w:szCs w:val="22"/>
          <w:highlight w:val="none"/>
        </w:rPr>
        <w:t>采购人：采购人</w:t>
      </w:r>
    </w:p>
    <w:p>
      <w:pPr>
        <w:pStyle w:val="24"/>
        <w:snapToGrid w:val="0"/>
        <w:spacing w:line="400" w:lineRule="exact"/>
        <w:rPr>
          <w:rFonts w:hint="eastAsia" w:hAnsi="宋体"/>
          <w:color w:val="auto"/>
          <w:sz w:val="22"/>
          <w:szCs w:val="22"/>
          <w:highlight w:val="none"/>
        </w:rPr>
      </w:pPr>
      <w:r>
        <w:rPr>
          <w:rFonts w:hint="eastAsia" w:hAnsi="宋体"/>
          <w:color w:val="auto"/>
          <w:sz w:val="22"/>
          <w:szCs w:val="22"/>
          <w:highlight w:val="none"/>
        </w:rPr>
        <w:t>中标供应商：本次采购的中标供应商</w:t>
      </w:r>
    </w:p>
    <w:p>
      <w:pPr>
        <w:pStyle w:val="24"/>
        <w:snapToGrid w:val="0"/>
        <w:spacing w:line="400" w:lineRule="exact"/>
        <w:rPr>
          <w:rFonts w:hint="eastAsia" w:hAnsi="宋体"/>
          <w:color w:val="auto"/>
          <w:sz w:val="22"/>
          <w:szCs w:val="22"/>
          <w:highlight w:val="none"/>
        </w:rPr>
      </w:pPr>
      <w:r>
        <w:rPr>
          <w:rFonts w:hint="eastAsia" w:hAnsi="宋体"/>
          <w:color w:val="auto"/>
          <w:sz w:val="22"/>
          <w:szCs w:val="22"/>
          <w:highlight w:val="none"/>
        </w:rPr>
        <w:t>合同签订地：平阳县鳌江镇</w:t>
      </w:r>
    </w:p>
    <w:p>
      <w:pPr>
        <w:pStyle w:val="24"/>
        <w:snapToGrid w:val="0"/>
        <w:spacing w:line="400" w:lineRule="exact"/>
        <w:ind w:firstLine="570"/>
        <w:rPr>
          <w:rFonts w:hint="eastAsia" w:hAnsi="宋体"/>
          <w:color w:val="auto"/>
          <w:sz w:val="22"/>
          <w:szCs w:val="22"/>
          <w:highlight w:val="none"/>
        </w:rPr>
      </w:pPr>
      <w:r>
        <w:rPr>
          <w:rFonts w:hint="eastAsia" w:hAnsi="宋体"/>
          <w:color w:val="auto"/>
          <w:sz w:val="22"/>
          <w:szCs w:val="22"/>
          <w:highlight w:val="none"/>
        </w:rPr>
        <w:t>双方经协商，就中标供应商向采购人提供本公司产品以及相关产品的伴随服务事宜达成以下条款：</w:t>
      </w:r>
    </w:p>
    <w:p>
      <w:pPr>
        <w:pStyle w:val="24"/>
        <w:snapToGrid w:val="0"/>
        <w:spacing w:line="400" w:lineRule="exact"/>
        <w:rPr>
          <w:rFonts w:hint="eastAsia" w:hAnsi="宋体"/>
          <w:color w:val="auto"/>
          <w:sz w:val="22"/>
          <w:szCs w:val="22"/>
          <w:highlight w:val="none"/>
        </w:rPr>
      </w:pPr>
      <w:r>
        <w:rPr>
          <w:rFonts w:hint="eastAsia" w:hAnsi="宋体"/>
          <w:color w:val="auto"/>
          <w:sz w:val="22"/>
          <w:szCs w:val="22"/>
          <w:highlight w:val="none"/>
        </w:rPr>
        <w:t>第一条：采购商品清单及合同价格</w:t>
      </w:r>
    </w:p>
    <w:p>
      <w:pPr>
        <w:snapToGrid w:val="0"/>
        <w:spacing w:line="400" w:lineRule="exact"/>
        <w:ind w:firstLine="540"/>
        <w:rPr>
          <w:rFonts w:hint="eastAsia" w:ascii="宋体"/>
          <w:color w:val="auto"/>
          <w:szCs w:val="22"/>
          <w:highlight w:val="none"/>
        </w:rPr>
      </w:pPr>
      <w:r>
        <w:rPr>
          <w:rFonts w:hint="eastAsia" w:ascii="宋体"/>
          <w:color w:val="auto"/>
          <w:szCs w:val="22"/>
          <w:highlight w:val="none"/>
        </w:rPr>
        <w:t>中标供应商保证提供如下内容的合格产品：        金额单位：人民币万元</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pPr>
              <w:snapToGrid w:val="0"/>
              <w:spacing w:line="440" w:lineRule="atLeast"/>
              <w:ind w:firstLine="240"/>
              <w:jc w:val="center"/>
              <w:rPr>
                <w:rFonts w:hint="eastAsia" w:ascii="宋体"/>
                <w:color w:val="auto"/>
                <w:szCs w:val="22"/>
                <w:highlight w:val="none"/>
              </w:rPr>
            </w:pPr>
            <w:r>
              <w:rPr>
                <w:rFonts w:hint="eastAsia" w:ascii="宋体"/>
                <w:color w:val="auto"/>
                <w:szCs w:val="22"/>
                <w:highlight w:val="none"/>
              </w:rPr>
              <w:t>采购产品名称</w:t>
            </w:r>
          </w:p>
        </w:tc>
        <w:tc>
          <w:tcPr>
            <w:tcW w:w="2713" w:type="dxa"/>
            <w:noWrap w:val="0"/>
            <w:vAlign w:val="center"/>
          </w:tcPr>
          <w:p>
            <w:pPr>
              <w:snapToGrid w:val="0"/>
              <w:spacing w:line="440" w:lineRule="atLeast"/>
              <w:jc w:val="center"/>
              <w:rPr>
                <w:rFonts w:hint="eastAsia" w:ascii="宋体"/>
                <w:color w:val="auto"/>
                <w:szCs w:val="22"/>
                <w:highlight w:val="none"/>
              </w:rPr>
            </w:pPr>
            <w:r>
              <w:rPr>
                <w:rFonts w:hint="eastAsia" w:ascii="宋体"/>
                <w:color w:val="auto"/>
                <w:szCs w:val="22"/>
                <w:highlight w:val="none"/>
              </w:rPr>
              <w:t>品牌型号规格和主要配置</w:t>
            </w:r>
          </w:p>
        </w:tc>
        <w:tc>
          <w:tcPr>
            <w:tcW w:w="816" w:type="dxa"/>
            <w:noWrap w:val="0"/>
            <w:vAlign w:val="center"/>
          </w:tcPr>
          <w:p>
            <w:pPr>
              <w:snapToGrid w:val="0"/>
              <w:spacing w:line="440" w:lineRule="atLeast"/>
              <w:jc w:val="center"/>
              <w:rPr>
                <w:rFonts w:hint="eastAsia" w:ascii="宋体"/>
                <w:color w:val="auto"/>
                <w:szCs w:val="22"/>
                <w:highlight w:val="none"/>
              </w:rPr>
            </w:pPr>
            <w:r>
              <w:rPr>
                <w:rFonts w:hint="eastAsia" w:ascii="宋体"/>
                <w:color w:val="auto"/>
                <w:szCs w:val="22"/>
                <w:highlight w:val="none"/>
              </w:rPr>
              <w:t>数量</w:t>
            </w:r>
          </w:p>
        </w:tc>
        <w:tc>
          <w:tcPr>
            <w:tcW w:w="1259" w:type="dxa"/>
            <w:noWrap w:val="0"/>
            <w:vAlign w:val="center"/>
          </w:tcPr>
          <w:p>
            <w:pPr>
              <w:snapToGrid w:val="0"/>
              <w:spacing w:line="440" w:lineRule="atLeast"/>
              <w:jc w:val="center"/>
              <w:rPr>
                <w:rFonts w:hint="eastAsia" w:ascii="宋体"/>
                <w:color w:val="auto"/>
                <w:szCs w:val="22"/>
                <w:highlight w:val="none"/>
              </w:rPr>
            </w:pPr>
            <w:r>
              <w:rPr>
                <w:rFonts w:hint="eastAsia" w:ascii="宋体"/>
                <w:color w:val="auto"/>
                <w:szCs w:val="22"/>
                <w:highlight w:val="none"/>
              </w:rPr>
              <w:t>成交价</w:t>
            </w:r>
          </w:p>
        </w:tc>
        <w:tc>
          <w:tcPr>
            <w:tcW w:w="1079" w:type="dxa"/>
            <w:noWrap w:val="0"/>
            <w:vAlign w:val="center"/>
          </w:tcPr>
          <w:p>
            <w:pPr>
              <w:snapToGrid w:val="0"/>
              <w:spacing w:line="440" w:lineRule="atLeast"/>
              <w:jc w:val="center"/>
              <w:rPr>
                <w:rFonts w:hint="eastAsia" w:ascii="宋体"/>
                <w:color w:val="auto"/>
                <w:szCs w:val="22"/>
                <w:highlight w:val="none"/>
              </w:rPr>
            </w:pPr>
            <w:r>
              <w:rPr>
                <w:rFonts w:hint="eastAsia" w:ascii="宋体"/>
                <w:color w:val="auto"/>
                <w:szCs w:val="22"/>
                <w:highlight w:val="none"/>
              </w:rPr>
              <w:t>交货期</w:t>
            </w:r>
          </w:p>
        </w:tc>
        <w:tc>
          <w:tcPr>
            <w:tcW w:w="1079" w:type="dxa"/>
            <w:noWrap w:val="0"/>
            <w:vAlign w:val="center"/>
          </w:tcPr>
          <w:p>
            <w:pPr>
              <w:snapToGrid w:val="0"/>
              <w:spacing w:line="440" w:lineRule="atLeast"/>
              <w:jc w:val="center"/>
              <w:rPr>
                <w:rFonts w:hint="eastAsia" w:ascii="宋体"/>
                <w:color w:val="auto"/>
                <w:szCs w:val="22"/>
                <w:highlight w:val="none"/>
              </w:rPr>
            </w:pPr>
            <w:r>
              <w:rPr>
                <w:rFonts w:hint="eastAsia" w:ascii="宋体"/>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trPr>
        <w:tc>
          <w:tcPr>
            <w:tcW w:w="2267" w:type="dxa"/>
            <w:noWrap w:val="0"/>
            <w:vAlign w:val="center"/>
          </w:tcPr>
          <w:p>
            <w:pPr>
              <w:snapToGrid w:val="0"/>
              <w:spacing w:line="440" w:lineRule="atLeast"/>
              <w:jc w:val="center"/>
              <w:rPr>
                <w:rFonts w:hint="eastAsia" w:ascii="宋体"/>
                <w:color w:val="auto"/>
                <w:szCs w:val="22"/>
                <w:highlight w:val="none"/>
              </w:rPr>
            </w:pPr>
          </w:p>
        </w:tc>
        <w:tc>
          <w:tcPr>
            <w:tcW w:w="2713" w:type="dxa"/>
            <w:noWrap w:val="0"/>
            <w:vAlign w:val="center"/>
          </w:tcPr>
          <w:p>
            <w:pPr>
              <w:snapToGrid w:val="0"/>
              <w:spacing w:line="440" w:lineRule="atLeast"/>
              <w:jc w:val="center"/>
              <w:rPr>
                <w:rFonts w:hint="eastAsia" w:ascii="宋体"/>
                <w:color w:val="auto"/>
                <w:szCs w:val="22"/>
                <w:highlight w:val="none"/>
              </w:rPr>
            </w:pPr>
          </w:p>
        </w:tc>
        <w:tc>
          <w:tcPr>
            <w:tcW w:w="816" w:type="dxa"/>
            <w:noWrap w:val="0"/>
            <w:vAlign w:val="center"/>
          </w:tcPr>
          <w:p>
            <w:pPr>
              <w:snapToGrid w:val="0"/>
              <w:spacing w:line="440" w:lineRule="atLeast"/>
              <w:jc w:val="center"/>
              <w:rPr>
                <w:rFonts w:hint="eastAsia" w:ascii="宋体"/>
                <w:color w:val="auto"/>
                <w:szCs w:val="22"/>
                <w:highlight w:val="none"/>
              </w:rPr>
            </w:pPr>
          </w:p>
        </w:tc>
        <w:tc>
          <w:tcPr>
            <w:tcW w:w="1259" w:type="dxa"/>
            <w:noWrap w:val="0"/>
            <w:vAlign w:val="center"/>
          </w:tcPr>
          <w:p>
            <w:pPr>
              <w:snapToGrid w:val="0"/>
              <w:spacing w:line="440" w:lineRule="atLeast"/>
              <w:jc w:val="center"/>
              <w:rPr>
                <w:rFonts w:hint="eastAsia" w:ascii="宋体"/>
                <w:color w:val="auto"/>
                <w:szCs w:val="22"/>
                <w:highlight w:val="none"/>
              </w:rPr>
            </w:pPr>
          </w:p>
        </w:tc>
        <w:tc>
          <w:tcPr>
            <w:tcW w:w="1079" w:type="dxa"/>
            <w:noWrap w:val="0"/>
            <w:vAlign w:val="center"/>
          </w:tcPr>
          <w:p>
            <w:pPr>
              <w:snapToGrid w:val="0"/>
              <w:spacing w:line="440" w:lineRule="atLeast"/>
              <w:jc w:val="center"/>
              <w:rPr>
                <w:rFonts w:hint="eastAsia" w:ascii="宋体"/>
                <w:color w:val="auto"/>
                <w:szCs w:val="22"/>
                <w:highlight w:val="none"/>
              </w:rPr>
            </w:pPr>
          </w:p>
        </w:tc>
        <w:tc>
          <w:tcPr>
            <w:tcW w:w="1079" w:type="dxa"/>
            <w:noWrap w:val="0"/>
            <w:vAlign w:val="center"/>
          </w:tcPr>
          <w:p>
            <w:pPr>
              <w:snapToGrid w:val="0"/>
              <w:spacing w:line="440" w:lineRule="atLeast"/>
              <w:jc w:val="center"/>
              <w:rPr>
                <w:rFonts w:hint="eastAsia" w:ascii="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pPr>
              <w:snapToGrid w:val="0"/>
              <w:spacing w:line="440" w:lineRule="atLeast"/>
              <w:jc w:val="center"/>
              <w:rPr>
                <w:rFonts w:hint="eastAsia" w:ascii="宋体"/>
                <w:color w:val="auto"/>
                <w:szCs w:val="22"/>
                <w:highlight w:val="none"/>
              </w:rPr>
            </w:pPr>
          </w:p>
        </w:tc>
        <w:tc>
          <w:tcPr>
            <w:tcW w:w="2713" w:type="dxa"/>
            <w:noWrap w:val="0"/>
            <w:vAlign w:val="center"/>
          </w:tcPr>
          <w:p>
            <w:pPr>
              <w:snapToGrid w:val="0"/>
              <w:spacing w:line="440" w:lineRule="atLeast"/>
              <w:jc w:val="center"/>
              <w:rPr>
                <w:rFonts w:hint="eastAsia" w:ascii="宋体"/>
                <w:color w:val="auto"/>
                <w:szCs w:val="22"/>
                <w:highlight w:val="none"/>
              </w:rPr>
            </w:pPr>
          </w:p>
        </w:tc>
        <w:tc>
          <w:tcPr>
            <w:tcW w:w="816" w:type="dxa"/>
            <w:noWrap w:val="0"/>
            <w:vAlign w:val="center"/>
          </w:tcPr>
          <w:p>
            <w:pPr>
              <w:snapToGrid w:val="0"/>
              <w:spacing w:line="440" w:lineRule="atLeast"/>
              <w:jc w:val="center"/>
              <w:rPr>
                <w:rFonts w:hint="eastAsia" w:ascii="宋体"/>
                <w:color w:val="auto"/>
                <w:szCs w:val="22"/>
                <w:highlight w:val="none"/>
              </w:rPr>
            </w:pPr>
          </w:p>
        </w:tc>
        <w:tc>
          <w:tcPr>
            <w:tcW w:w="1259" w:type="dxa"/>
            <w:noWrap w:val="0"/>
            <w:vAlign w:val="center"/>
          </w:tcPr>
          <w:p>
            <w:pPr>
              <w:snapToGrid w:val="0"/>
              <w:spacing w:line="440" w:lineRule="atLeast"/>
              <w:jc w:val="center"/>
              <w:rPr>
                <w:rFonts w:hint="eastAsia" w:ascii="宋体"/>
                <w:color w:val="auto"/>
                <w:szCs w:val="22"/>
                <w:highlight w:val="none"/>
              </w:rPr>
            </w:pPr>
          </w:p>
        </w:tc>
        <w:tc>
          <w:tcPr>
            <w:tcW w:w="1079" w:type="dxa"/>
            <w:noWrap w:val="0"/>
            <w:vAlign w:val="center"/>
          </w:tcPr>
          <w:p>
            <w:pPr>
              <w:snapToGrid w:val="0"/>
              <w:spacing w:line="440" w:lineRule="atLeast"/>
              <w:jc w:val="center"/>
              <w:rPr>
                <w:rFonts w:hint="eastAsia" w:ascii="宋体"/>
                <w:color w:val="auto"/>
                <w:szCs w:val="22"/>
                <w:highlight w:val="none"/>
              </w:rPr>
            </w:pPr>
          </w:p>
        </w:tc>
        <w:tc>
          <w:tcPr>
            <w:tcW w:w="1079" w:type="dxa"/>
            <w:noWrap w:val="0"/>
            <w:vAlign w:val="center"/>
          </w:tcPr>
          <w:p>
            <w:pPr>
              <w:snapToGrid w:val="0"/>
              <w:spacing w:line="440" w:lineRule="atLeast"/>
              <w:jc w:val="center"/>
              <w:rPr>
                <w:rFonts w:hint="eastAsia" w:ascii="宋体"/>
                <w:color w:val="auto"/>
                <w:szCs w:val="22"/>
                <w:highlight w:val="none"/>
              </w:rPr>
            </w:pPr>
          </w:p>
        </w:tc>
      </w:tr>
    </w:tbl>
    <w:p>
      <w:pPr>
        <w:pStyle w:val="24"/>
        <w:snapToGrid w:val="0"/>
        <w:spacing w:line="400" w:lineRule="exact"/>
        <w:rPr>
          <w:rFonts w:hint="eastAsia" w:hAnsi="宋体"/>
          <w:color w:val="auto"/>
          <w:sz w:val="22"/>
          <w:szCs w:val="22"/>
          <w:highlight w:val="none"/>
        </w:rPr>
      </w:pPr>
      <w:r>
        <w:rPr>
          <w:rFonts w:hint="eastAsia" w:hAnsi="宋体"/>
          <w:color w:val="auto"/>
          <w:sz w:val="22"/>
          <w:szCs w:val="22"/>
          <w:highlight w:val="none"/>
        </w:rPr>
        <w:t>第二条：质量标准和要求</w:t>
      </w:r>
    </w:p>
    <w:p>
      <w:pPr>
        <w:snapToGrid w:val="0"/>
        <w:spacing w:line="400" w:lineRule="exact"/>
        <w:ind w:firstLine="420"/>
        <w:rPr>
          <w:rFonts w:hint="eastAsia" w:ascii="宋体"/>
          <w:color w:val="auto"/>
          <w:szCs w:val="22"/>
          <w:highlight w:val="none"/>
        </w:rPr>
      </w:pPr>
      <w:r>
        <w:rPr>
          <w:rFonts w:hint="eastAsia" w:ascii="宋体"/>
          <w:color w:val="auto"/>
          <w:szCs w:val="22"/>
          <w:highlight w:val="none"/>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24"/>
        <w:snapToGrid w:val="0"/>
        <w:spacing w:line="400" w:lineRule="exact"/>
        <w:ind w:firstLine="480"/>
        <w:rPr>
          <w:rFonts w:hint="eastAsia" w:hAnsi="宋体"/>
          <w:color w:val="auto"/>
          <w:sz w:val="22"/>
          <w:szCs w:val="22"/>
          <w:highlight w:val="none"/>
        </w:rPr>
      </w:pPr>
      <w:r>
        <w:rPr>
          <w:rFonts w:hint="eastAsia" w:hAnsi="宋体"/>
          <w:color w:val="auto"/>
          <w:sz w:val="22"/>
          <w:szCs w:val="22"/>
          <w:highlight w:val="none"/>
        </w:rPr>
        <w:t>2、中标供应商所出售的货物还应符合国家和浙江省有关安全、环保、卫生之规定。</w:t>
      </w:r>
    </w:p>
    <w:p>
      <w:pPr>
        <w:snapToGrid w:val="0"/>
        <w:spacing w:line="400" w:lineRule="exact"/>
        <w:rPr>
          <w:rFonts w:hint="eastAsia" w:ascii="宋体"/>
          <w:color w:val="auto"/>
          <w:szCs w:val="22"/>
          <w:highlight w:val="none"/>
        </w:rPr>
      </w:pPr>
      <w:r>
        <w:rPr>
          <w:rFonts w:hint="eastAsia" w:ascii="宋体"/>
          <w:color w:val="auto"/>
          <w:szCs w:val="22"/>
          <w:highlight w:val="none"/>
        </w:rPr>
        <w:t>第三条：权利瑕疵担保</w:t>
      </w:r>
    </w:p>
    <w:p>
      <w:pPr>
        <w:snapToGrid w:val="0"/>
        <w:spacing w:line="400" w:lineRule="exact"/>
        <w:ind w:firstLine="420"/>
        <w:rPr>
          <w:rFonts w:hint="eastAsia" w:ascii="宋体"/>
          <w:color w:val="auto"/>
          <w:szCs w:val="22"/>
          <w:highlight w:val="none"/>
        </w:rPr>
      </w:pPr>
      <w:r>
        <w:rPr>
          <w:rFonts w:hint="eastAsia" w:ascii="宋体"/>
          <w:color w:val="auto"/>
          <w:szCs w:val="22"/>
          <w:highlight w:val="none"/>
        </w:rPr>
        <w:t>1、中标供应商保证对其出售的货物享有合法的权利。</w:t>
      </w:r>
    </w:p>
    <w:p>
      <w:pPr>
        <w:snapToGrid w:val="0"/>
        <w:spacing w:line="400" w:lineRule="exact"/>
        <w:ind w:firstLine="420"/>
        <w:rPr>
          <w:rFonts w:hint="eastAsia" w:ascii="宋体"/>
          <w:color w:val="auto"/>
          <w:szCs w:val="22"/>
          <w:highlight w:val="none"/>
        </w:rPr>
      </w:pPr>
      <w:r>
        <w:rPr>
          <w:rFonts w:hint="eastAsia" w:ascii="宋体"/>
          <w:color w:val="auto"/>
          <w:szCs w:val="22"/>
          <w:highlight w:val="none"/>
        </w:rPr>
        <w:t>2、中标供应商保证在其出售的货物上不存在任何未曾向采购人透露的担保物权，如抵押权、质押权、留置权等。</w:t>
      </w:r>
    </w:p>
    <w:p>
      <w:pPr>
        <w:snapToGrid w:val="0"/>
        <w:spacing w:line="400" w:lineRule="exact"/>
        <w:ind w:firstLine="420"/>
        <w:rPr>
          <w:rFonts w:hint="eastAsia" w:ascii="宋体"/>
          <w:color w:val="auto"/>
          <w:szCs w:val="22"/>
          <w:highlight w:val="none"/>
        </w:rPr>
      </w:pPr>
      <w:r>
        <w:rPr>
          <w:rFonts w:hint="eastAsia" w:ascii="宋体"/>
          <w:color w:val="auto"/>
          <w:szCs w:val="22"/>
          <w:highlight w:val="none"/>
        </w:rPr>
        <w:t>3、中标供应商保证其所出售的货物没有侵犯任何第三人的知识产权和商业秘密等权利。</w:t>
      </w:r>
    </w:p>
    <w:p>
      <w:pPr>
        <w:pStyle w:val="24"/>
        <w:snapToGrid w:val="0"/>
        <w:spacing w:line="400" w:lineRule="exact"/>
        <w:ind w:firstLine="330" w:firstLineChars="150"/>
        <w:rPr>
          <w:rFonts w:hint="eastAsia" w:hAnsi="宋体"/>
          <w:color w:val="auto"/>
          <w:sz w:val="22"/>
          <w:szCs w:val="22"/>
          <w:highlight w:val="none"/>
        </w:rPr>
      </w:pPr>
      <w:r>
        <w:rPr>
          <w:rFonts w:hint="eastAsia" w:hAnsi="宋体"/>
          <w:color w:val="auto"/>
          <w:sz w:val="22"/>
          <w:szCs w:val="22"/>
          <w:highlight w:val="none"/>
        </w:rPr>
        <w:t>4、如采购人使用该货物构成上述侵权的，则由中标供应商承担全部责任。</w:t>
      </w:r>
    </w:p>
    <w:p>
      <w:pPr>
        <w:snapToGrid w:val="0"/>
        <w:spacing w:line="400" w:lineRule="exact"/>
        <w:rPr>
          <w:rFonts w:hint="eastAsia" w:ascii="宋体"/>
          <w:color w:val="auto"/>
          <w:szCs w:val="22"/>
          <w:highlight w:val="none"/>
        </w:rPr>
      </w:pPr>
      <w:r>
        <w:rPr>
          <w:rFonts w:hint="eastAsia" w:ascii="宋体"/>
          <w:color w:val="auto"/>
          <w:szCs w:val="22"/>
          <w:highlight w:val="none"/>
        </w:rPr>
        <w:t>第四条：包装要求</w:t>
      </w:r>
    </w:p>
    <w:p>
      <w:pPr>
        <w:snapToGrid w:val="0"/>
        <w:spacing w:line="400" w:lineRule="exact"/>
        <w:rPr>
          <w:rFonts w:hint="eastAsia" w:ascii="宋体"/>
          <w:color w:val="auto"/>
          <w:szCs w:val="22"/>
          <w:highlight w:val="none"/>
        </w:rPr>
      </w:pPr>
      <w:r>
        <w:rPr>
          <w:rFonts w:hint="eastAsia" w:ascii="宋体"/>
          <w:color w:val="auto"/>
          <w:szCs w:val="22"/>
          <w:highlight w:val="none"/>
        </w:rPr>
        <w:t xml:space="preserve">    1、中标供应商所出售的全部货物均应按标准保护措施进行包装，这类包装应适应于远距离运输、防潮、防震、防锈和防野蛮装卸等要求，以确保货物安全无损地运抵指定现场。</w:t>
      </w:r>
    </w:p>
    <w:p>
      <w:pPr>
        <w:pStyle w:val="24"/>
        <w:snapToGrid w:val="0"/>
        <w:spacing w:line="400" w:lineRule="exact"/>
        <w:ind w:firstLine="360"/>
        <w:rPr>
          <w:rFonts w:hint="eastAsia" w:hAnsi="宋体"/>
          <w:color w:val="auto"/>
          <w:sz w:val="22"/>
          <w:szCs w:val="22"/>
          <w:highlight w:val="none"/>
        </w:rPr>
      </w:pPr>
      <w:r>
        <w:rPr>
          <w:rFonts w:hint="eastAsia" w:hAnsi="宋体"/>
          <w:color w:val="auto"/>
          <w:sz w:val="22"/>
          <w:szCs w:val="22"/>
          <w:highlight w:val="none"/>
        </w:rPr>
        <w:t xml:space="preserve"> 2、每一个包装箱内应附一份详细装箱单、质量证书和保修保养证书。</w:t>
      </w:r>
    </w:p>
    <w:p>
      <w:pPr>
        <w:snapToGrid w:val="0"/>
        <w:spacing w:line="400" w:lineRule="exact"/>
        <w:rPr>
          <w:rFonts w:hint="eastAsia" w:ascii="宋体"/>
          <w:color w:val="auto"/>
          <w:szCs w:val="22"/>
          <w:highlight w:val="none"/>
        </w:rPr>
      </w:pPr>
      <w:r>
        <w:rPr>
          <w:rFonts w:hint="eastAsia" w:ascii="宋体"/>
          <w:color w:val="auto"/>
          <w:szCs w:val="22"/>
          <w:highlight w:val="none"/>
        </w:rPr>
        <w:t>第五条：完工期限：详见招标文件</w:t>
      </w:r>
    </w:p>
    <w:p>
      <w:pPr>
        <w:snapToGrid w:val="0"/>
        <w:spacing w:line="400" w:lineRule="exact"/>
        <w:rPr>
          <w:rFonts w:hint="eastAsia" w:ascii="宋体"/>
          <w:color w:val="auto"/>
          <w:szCs w:val="22"/>
          <w:highlight w:val="none"/>
        </w:rPr>
      </w:pPr>
      <w:r>
        <w:rPr>
          <w:rFonts w:hint="eastAsia" w:ascii="宋体"/>
          <w:color w:val="auto"/>
          <w:szCs w:val="22"/>
          <w:highlight w:val="none"/>
        </w:rPr>
        <w:t>第六条：供货方式：详见招标文件</w:t>
      </w:r>
    </w:p>
    <w:p>
      <w:pPr>
        <w:snapToGrid w:val="0"/>
        <w:spacing w:line="400" w:lineRule="exact"/>
        <w:rPr>
          <w:rFonts w:hint="eastAsia" w:ascii="宋体"/>
          <w:color w:val="auto"/>
          <w:szCs w:val="22"/>
          <w:highlight w:val="none"/>
        </w:rPr>
      </w:pPr>
      <w:r>
        <w:rPr>
          <w:rFonts w:hint="eastAsia" w:ascii="宋体"/>
          <w:color w:val="auto"/>
          <w:szCs w:val="22"/>
          <w:highlight w:val="none"/>
        </w:rPr>
        <w:t>第七条：验收</w:t>
      </w:r>
    </w:p>
    <w:p>
      <w:pPr>
        <w:pStyle w:val="24"/>
        <w:snapToGrid w:val="0"/>
        <w:spacing w:line="400" w:lineRule="exact"/>
        <w:ind w:firstLine="480"/>
        <w:rPr>
          <w:rFonts w:hint="eastAsia" w:hAnsi="宋体"/>
          <w:color w:val="auto"/>
          <w:sz w:val="22"/>
          <w:szCs w:val="22"/>
          <w:highlight w:val="none"/>
        </w:rPr>
      </w:pPr>
      <w:r>
        <w:rPr>
          <w:rFonts w:hint="eastAsia" w:hAnsi="宋体"/>
          <w:color w:val="auto"/>
          <w:sz w:val="22"/>
          <w:szCs w:val="22"/>
          <w:highlight w:val="none"/>
        </w:rPr>
        <w:t>中标供应商送货至指定地点后，由采购人根据货物的技术规格要求和质量标准，对货物进行检查验收，</w:t>
      </w:r>
      <w:r>
        <w:rPr>
          <w:rFonts w:hint="eastAsia"/>
          <w:color w:val="auto"/>
          <w:sz w:val="22"/>
          <w:szCs w:val="22"/>
          <w:highlight w:val="none"/>
        </w:rPr>
        <w:t>并通过相关质检部门的验收。</w:t>
      </w:r>
    </w:p>
    <w:p>
      <w:pPr>
        <w:snapToGrid w:val="0"/>
        <w:spacing w:line="400" w:lineRule="exact"/>
        <w:ind w:firstLine="405"/>
        <w:rPr>
          <w:rFonts w:hint="eastAsia" w:ascii="宋体"/>
          <w:color w:val="auto"/>
          <w:szCs w:val="22"/>
          <w:highlight w:val="none"/>
        </w:rPr>
      </w:pPr>
      <w:r>
        <w:rPr>
          <w:rFonts w:hint="eastAsia" w:ascii="宋体"/>
          <w:color w:val="auto"/>
          <w:szCs w:val="22"/>
          <w:highlight w:val="none"/>
        </w:rPr>
        <w:t>货物的数量不足或表面瑕疵，采购人应在验收时当面提出；对质量问题有异议的应在安装调试后10个工作日内提出。</w:t>
      </w:r>
    </w:p>
    <w:p>
      <w:pPr>
        <w:snapToGrid w:val="0"/>
        <w:spacing w:line="400" w:lineRule="exact"/>
        <w:ind w:firstLine="405"/>
        <w:rPr>
          <w:rFonts w:hint="eastAsia" w:ascii="宋体"/>
          <w:color w:val="auto"/>
          <w:szCs w:val="22"/>
          <w:highlight w:val="none"/>
        </w:rPr>
      </w:pPr>
      <w:r>
        <w:rPr>
          <w:rFonts w:hint="eastAsia" w:ascii="宋体"/>
          <w:color w:val="auto"/>
          <w:szCs w:val="22"/>
          <w:highlight w:val="none"/>
        </w:rPr>
        <w:t>在验收过程中发现数量不足或有质量、技术等问题，中标供应商应负责按照采购人的要求采取补足、更换或退货等处理措施，并承担由此发生的一切费用和损失。</w:t>
      </w:r>
    </w:p>
    <w:p>
      <w:pPr>
        <w:pStyle w:val="24"/>
        <w:snapToGrid w:val="0"/>
        <w:spacing w:line="400" w:lineRule="exact"/>
        <w:ind w:firstLine="480"/>
        <w:rPr>
          <w:rFonts w:hint="eastAsia" w:hAnsi="宋体"/>
          <w:color w:val="auto"/>
          <w:sz w:val="22"/>
          <w:szCs w:val="22"/>
          <w:highlight w:val="none"/>
        </w:rPr>
      </w:pPr>
      <w:r>
        <w:rPr>
          <w:rFonts w:hint="eastAsia" w:hAnsi="宋体"/>
          <w:color w:val="auto"/>
          <w:sz w:val="22"/>
          <w:szCs w:val="22"/>
          <w:highlight w:val="none"/>
        </w:rPr>
        <w:t>采购人在中标供应商按合同规定交货和安装、调试后，无正当理由而拖延接收、验收或拒绝接收、验收的，应承担由此而造成的中标供应商直接损失。</w:t>
      </w:r>
    </w:p>
    <w:p>
      <w:pPr>
        <w:widowControl/>
        <w:autoSpaceDE w:val="0"/>
        <w:autoSpaceDN w:val="0"/>
        <w:adjustRightInd w:val="0"/>
        <w:snapToGrid w:val="0"/>
        <w:spacing w:line="400" w:lineRule="exact"/>
        <w:ind w:firstLine="450"/>
        <w:textAlignment w:val="bottom"/>
        <w:rPr>
          <w:rFonts w:hint="eastAsia" w:ascii="宋体"/>
          <w:color w:val="auto"/>
          <w:szCs w:val="22"/>
          <w:highlight w:val="none"/>
        </w:rPr>
      </w:pPr>
      <w:r>
        <w:rPr>
          <w:rFonts w:hint="eastAsia" w:ascii="宋体"/>
          <w:color w:val="auto"/>
          <w:szCs w:val="22"/>
          <w:highlight w:val="none"/>
        </w:rPr>
        <w:t>采购人组织相关人员对本项目进行验收（验收标准按招标文件，现行国家标准、现行行业标准执行）。第一次验收在项目安装调试合格后30日历天内完成，如验收不能通过，供应商负责整改至合格；</w:t>
      </w:r>
    </w:p>
    <w:p>
      <w:pPr>
        <w:pStyle w:val="24"/>
        <w:snapToGrid w:val="0"/>
        <w:spacing w:line="400" w:lineRule="exact"/>
        <w:rPr>
          <w:rFonts w:hint="eastAsia" w:hAnsi="宋体"/>
          <w:color w:val="auto"/>
          <w:sz w:val="22"/>
          <w:szCs w:val="22"/>
          <w:highlight w:val="none"/>
        </w:rPr>
      </w:pPr>
      <w:r>
        <w:rPr>
          <w:rFonts w:hint="eastAsia" w:hAnsi="宋体"/>
          <w:color w:val="auto"/>
          <w:sz w:val="22"/>
          <w:szCs w:val="22"/>
          <w:highlight w:val="none"/>
        </w:rPr>
        <w:t>第八条：售后服务</w:t>
      </w:r>
    </w:p>
    <w:p>
      <w:pPr>
        <w:pStyle w:val="24"/>
        <w:snapToGrid w:val="0"/>
        <w:spacing w:line="400" w:lineRule="exact"/>
        <w:ind w:firstLine="480"/>
        <w:rPr>
          <w:rFonts w:hint="eastAsia" w:hAnsi="宋体"/>
          <w:color w:val="auto"/>
          <w:sz w:val="22"/>
          <w:szCs w:val="22"/>
          <w:highlight w:val="none"/>
        </w:rPr>
      </w:pPr>
      <w:r>
        <w:rPr>
          <w:rFonts w:hint="eastAsia" w:hAnsi="宋体"/>
          <w:color w:val="auto"/>
          <w:sz w:val="22"/>
          <w:szCs w:val="22"/>
          <w:highlight w:val="none"/>
        </w:rPr>
        <w:t xml:space="preserve"> 中标供应商承诺售后服务按照谈判文件中承诺的服务计划实施，包括培训。</w:t>
      </w:r>
    </w:p>
    <w:p>
      <w:pPr>
        <w:pStyle w:val="24"/>
        <w:snapToGrid w:val="0"/>
        <w:spacing w:line="400" w:lineRule="exact"/>
        <w:rPr>
          <w:rFonts w:hint="eastAsia" w:hAnsi="宋体"/>
          <w:color w:val="auto"/>
          <w:sz w:val="22"/>
          <w:szCs w:val="22"/>
          <w:highlight w:val="none"/>
        </w:rPr>
      </w:pPr>
      <w:r>
        <w:rPr>
          <w:rFonts w:hint="eastAsia" w:hAnsi="宋体"/>
          <w:color w:val="auto"/>
          <w:sz w:val="22"/>
          <w:szCs w:val="22"/>
          <w:highlight w:val="none"/>
        </w:rPr>
        <w:t>第九条：履约保证金，</w:t>
      </w:r>
      <w:r>
        <w:rPr>
          <w:rFonts w:hint="eastAsia" w:hAnsi="宋体"/>
          <w:color w:val="auto"/>
          <w:sz w:val="22"/>
          <w:szCs w:val="22"/>
          <w:highlight w:val="none"/>
          <w:u w:val="single"/>
        </w:rPr>
        <w:t>详见招标文件。</w:t>
      </w:r>
      <w:r>
        <w:rPr>
          <w:rFonts w:hint="eastAsia" w:hAnsi="宋体"/>
          <w:color w:val="auto"/>
          <w:sz w:val="22"/>
          <w:szCs w:val="22"/>
          <w:highlight w:val="none"/>
        </w:rPr>
        <w:t xml:space="preserve"> </w:t>
      </w:r>
    </w:p>
    <w:p>
      <w:pPr>
        <w:pStyle w:val="24"/>
        <w:snapToGrid w:val="0"/>
        <w:spacing w:line="400" w:lineRule="exact"/>
        <w:rPr>
          <w:rFonts w:hint="eastAsia" w:hAnsi="宋体"/>
          <w:color w:val="auto"/>
          <w:sz w:val="22"/>
          <w:szCs w:val="22"/>
          <w:highlight w:val="none"/>
          <w:u w:val="single"/>
        </w:rPr>
      </w:pPr>
      <w:r>
        <w:rPr>
          <w:rFonts w:hint="eastAsia" w:hAnsi="宋体"/>
          <w:color w:val="auto"/>
          <w:sz w:val="22"/>
          <w:szCs w:val="22"/>
          <w:highlight w:val="none"/>
        </w:rPr>
        <w:t>第十条：货款的支付，</w:t>
      </w:r>
      <w:r>
        <w:rPr>
          <w:rFonts w:hint="eastAsia" w:hAnsi="宋体"/>
          <w:color w:val="auto"/>
          <w:sz w:val="22"/>
          <w:szCs w:val="22"/>
          <w:highlight w:val="none"/>
          <w:u w:val="single"/>
        </w:rPr>
        <w:t>详见招标文件。</w:t>
      </w:r>
    </w:p>
    <w:p>
      <w:pPr>
        <w:pStyle w:val="24"/>
        <w:snapToGrid w:val="0"/>
        <w:spacing w:line="400" w:lineRule="exact"/>
        <w:rPr>
          <w:rFonts w:hint="eastAsia" w:hAnsi="宋体"/>
          <w:color w:val="auto"/>
          <w:sz w:val="22"/>
          <w:szCs w:val="22"/>
          <w:highlight w:val="none"/>
        </w:rPr>
      </w:pPr>
      <w:r>
        <w:rPr>
          <w:rFonts w:hint="eastAsia" w:hAnsi="宋体"/>
          <w:color w:val="auto"/>
          <w:sz w:val="22"/>
          <w:szCs w:val="22"/>
          <w:highlight w:val="none"/>
        </w:rPr>
        <w:t>第十一条：辅助服务</w:t>
      </w:r>
    </w:p>
    <w:p>
      <w:pPr>
        <w:snapToGrid w:val="0"/>
        <w:spacing w:line="400" w:lineRule="exact"/>
        <w:ind w:firstLine="480"/>
        <w:rPr>
          <w:rFonts w:hint="eastAsia" w:ascii="宋体"/>
          <w:color w:val="auto"/>
          <w:szCs w:val="22"/>
          <w:highlight w:val="none"/>
        </w:rPr>
      </w:pPr>
      <w:r>
        <w:rPr>
          <w:rFonts w:hint="eastAsia" w:ascii="宋体"/>
          <w:color w:val="auto"/>
          <w:szCs w:val="22"/>
          <w:highlight w:val="none"/>
        </w:rPr>
        <w:t>中标供应商应提交所提供货物的技术文件，包括相应的每一套设备的中文技术文件，例如：产品目录、图纸、操作手册、使用说明、维护手册和/或服务指南。这些文件应包装好随同货物一起发运。</w:t>
      </w:r>
    </w:p>
    <w:p>
      <w:pPr>
        <w:snapToGrid w:val="0"/>
        <w:spacing w:line="400" w:lineRule="exact"/>
        <w:rPr>
          <w:rFonts w:hint="eastAsia" w:ascii="宋体"/>
          <w:color w:val="auto"/>
          <w:szCs w:val="22"/>
          <w:highlight w:val="none"/>
        </w:rPr>
      </w:pPr>
      <w:r>
        <w:rPr>
          <w:rFonts w:hint="eastAsia" w:ascii="宋体"/>
          <w:color w:val="auto"/>
          <w:szCs w:val="22"/>
          <w:highlight w:val="none"/>
        </w:rPr>
        <w:t xml:space="preserve">     中标供应商还应提供下列服务：</w:t>
      </w:r>
    </w:p>
    <w:p>
      <w:pPr>
        <w:snapToGrid w:val="0"/>
        <w:spacing w:line="400" w:lineRule="exact"/>
        <w:outlineLvl w:val="0"/>
        <w:rPr>
          <w:rFonts w:hint="eastAsia" w:ascii="宋体"/>
          <w:color w:val="auto"/>
          <w:szCs w:val="22"/>
          <w:highlight w:val="none"/>
        </w:rPr>
      </w:pPr>
      <w:r>
        <w:rPr>
          <w:rFonts w:hint="eastAsia" w:ascii="宋体"/>
          <w:color w:val="auto"/>
          <w:szCs w:val="22"/>
          <w:highlight w:val="none"/>
        </w:rPr>
        <w:t xml:space="preserve">    （1）货物的现场指导安装、调试、启动监督及技术支持；</w:t>
      </w:r>
    </w:p>
    <w:p>
      <w:pPr>
        <w:snapToGrid w:val="0"/>
        <w:spacing w:line="400" w:lineRule="exact"/>
        <w:rPr>
          <w:rFonts w:hint="eastAsia" w:ascii="宋体"/>
          <w:color w:val="auto"/>
          <w:szCs w:val="22"/>
          <w:highlight w:val="none"/>
        </w:rPr>
      </w:pPr>
      <w:r>
        <w:rPr>
          <w:rFonts w:hint="eastAsia" w:ascii="宋体"/>
          <w:color w:val="auto"/>
          <w:szCs w:val="22"/>
          <w:highlight w:val="none"/>
        </w:rPr>
        <w:t xml:space="preserve">    （2）在厂家和/或项目现场就货物的指导安装、启动、运营、维护对采购人操作人员进行培训。辅助服务的费用包含在合同价中，采购人不再另行支付。</w:t>
      </w:r>
    </w:p>
    <w:p>
      <w:pPr>
        <w:snapToGrid w:val="0"/>
        <w:spacing w:line="400" w:lineRule="exact"/>
        <w:ind w:left="-360" w:firstLine="360"/>
        <w:rPr>
          <w:rFonts w:hint="eastAsia" w:ascii="宋体"/>
          <w:color w:val="auto"/>
          <w:szCs w:val="22"/>
          <w:highlight w:val="none"/>
        </w:rPr>
      </w:pPr>
      <w:r>
        <w:rPr>
          <w:rFonts w:hint="eastAsia" w:ascii="宋体"/>
          <w:color w:val="auto"/>
          <w:szCs w:val="22"/>
          <w:highlight w:val="none"/>
        </w:rPr>
        <w:t>第十二条：质量保证</w:t>
      </w:r>
    </w:p>
    <w:p>
      <w:pPr>
        <w:snapToGrid w:val="0"/>
        <w:spacing w:line="400" w:lineRule="exact"/>
        <w:rPr>
          <w:rFonts w:hint="eastAsia" w:ascii="宋体"/>
          <w:color w:val="auto"/>
          <w:szCs w:val="22"/>
          <w:highlight w:val="none"/>
        </w:rPr>
      </w:pPr>
      <w:r>
        <w:rPr>
          <w:rFonts w:hint="eastAsia" w:ascii="宋体"/>
          <w:color w:val="auto"/>
          <w:szCs w:val="22"/>
          <w:highlight w:val="none"/>
        </w:rPr>
        <w:t xml:space="preserve">    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hint="eastAsia" w:ascii="宋体"/>
          <w:color w:val="auto"/>
          <w:szCs w:val="22"/>
          <w:highlight w:val="none"/>
          <w:u w:val="single"/>
        </w:rPr>
        <w:t>乙方承诺</w:t>
      </w:r>
      <w:r>
        <w:rPr>
          <w:rFonts w:hint="eastAsia" w:ascii="宋体"/>
          <w:color w:val="auto"/>
          <w:szCs w:val="22"/>
          <w:highlight w:val="none"/>
        </w:rPr>
        <w:t>的质量保证期内，中标供应商应对由于设计、工艺或材料的缺陷而产生的故障负责。</w:t>
      </w:r>
    </w:p>
    <w:p>
      <w:pPr>
        <w:snapToGrid w:val="0"/>
        <w:spacing w:line="400" w:lineRule="exact"/>
        <w:ind w:firstLine="385" w:firstLineChars="175"/>
        <w:rPr>
          <w:rFonts w:hint="eastAsia" w:ascii="宋体"/>
          <w:color w:val="auto"/>
          <w:szCs w:val="22"/>
          <w:highlight w:val="none"/>
        </w:rPr>
      </w:pPr>
      <w:r>
        <w:rPr>
          <w:rFonts w:hint="eastAsia" w:ascii="宋体"/>
          <w:color w:val="auto"/>
          <w:szCs w:val="22"/>
          <w:highlight w:val="none"/>
        </w:rPr>
        <w:t>在质量保证期内，如果货物的质量或规格与合同不符，或证实货物是有缺陷的，包括潜在的缺陷或使用不符合要求的材料等，采购人可以根据本合同第十三条规定以书面形式向中标供应商提出补救措施或索赔。</w:t>
      </w:r>
    </w:p>
    <w:p>
      <w:pPr>
        <w:snapToGrid w:val="0"/>
        <w:spacing w:line="400" w:lineRule="exact"/>
        <w:ind w:firstLine="420"/>
        <w:rPr>
          <w:rFonts w:hint="eastAsia" w:ascii="宋体"/>
          <w:color w:val="auto"/>
          <w:szCs w:val="22"/>
          <w:highlight w:val="none"/>
        </w:rPr>
      </w:pPr>
      <w:r>
        <w:rPr>
          <w:rFonts w:hint="eastAsia" w:ascii="宋体"/>
          <w:color w:val="auto"/>
          <w:szCs w:val="22"/>
          <w:highlight w:val="none"/>
        </w:rPr>
        <w:t>中标供应商在约定的时间内未能弥补缺陷，采购人可采取必要的补救措施，但其风险和费用将由中标供应商承担，采购人根据合同规定对中标供应商行使的其他权利不受影响。</w:t>
      </w:r>
    </w:p>
    <w:p>
      <w:pPr>
        <w:snapToGrid w:val="0"/>
        <w:spacing w:line="400" w:lineRule="exact"/>
        <w:rPr>
          <w:rFonts w:hint="eastAsia" w:ascii="宋体"/>
          <w:color w:val="auto"/>
          <w:szCs w:val="22"/>
          <w:highlight w:val="none"/>
        </w:rPr>
      </w:pPr>
      <w:r>
        <w:rPr>
          <w:rFonts w:hint="eastAsia" w:ascii="宋体"/>
          <w:color w:val="auto"/>
          <w:szCs w:val="22"/>
          <w:highlight w:val="none"/>
        </w:rPr>
        <w:t>第十三条：补救措施和索赔</w:t>
      </w:r>
    </w:p>
    <w:p>
      <w:pPr>
        <w:snapToGrid w:val="0"/>
        <w:spacing w:line="400" w:lineRule="exact"/>
        <w:ind w:firstLine="420"/>
        <w:rPr>
          <w:rFonts w:hint="eastAsia" w:ascii="宋体"/>
          <w:color w:val="auto"/>
          <w:szCs w:val="22"/>
          <w:highlight w:val="none"/>
        </w:rPr>
      </w:pPr>
      <w:r>
        <w:rPr>
          <w:rFonts w:hint="eastAsia" w:ascii="宋体"/>
          <w:color w:val="auto"/>
          <w:szCs w:val="22"/>
          <w:highlight w:val="none"/>
        </w:rPr>
        <w:t>1、采购人有权根据权威质量检测部门出具的检验报告向中标供应商提出索赔。</w:t>
      </w:r>
    </w:p>
    <w:p>
      <w:pPr>
        <w:snapToGrid w:val="0"/>
        <w:spacing w:line="400" w:lineRule="exact"/>
        <w:ind w:firstLine="420"/>
        <w:rPr>
          <w:rFonts w:hint="eastAsia" w:ascii="宋体"/>
          <w:color w:val="auto"/>
          <w:szCs w:val="22"/>
          <w:highlight w:val="none"/>
        </w:rPr>
      </w:pPr>
      <w:r>
        <w:rPr>
          <w:rFonts w:hint="eastAsia" w:ascii="宋体"/>
          <w:color w:val="auto"/>
          <w:szCs w:val="22"/>
          <w:highlight w:val="none"/>
        </w:rPr>
        <w:t>2、在质量保证期内，如果中标供应商对缺陷产品负有责任而采购人提出索赔，中标供应商应按照采购人同意的下列一种或多种方式解决索赔事宜，并且采购人可以收取中标供应商合同总价40%的违约金：</w:t>
      </w:r>
    </w:p>
    <w:p>
      <w:pPr>
        <w:snapToGrid w:val="0"/>
        <w:spacing w:line="400" w:lineRule="exact"/>
        <w:ind w:firstLine="440" w:firstLineChars="200"/>
        <w:rPr>
          <w:rFonts w:hint="eastAsia" w:ascii="宋体"/>
          <w:color w:val="auto"/>
          <w:szCs w:val="22"/>
          <w:highlight w:val="none"/>
        </w:rPr>
      </w:pPr>
      <w:r>
        <w:rPr>
          <w:rFonts w:hint="eastAsia" w:ascii="宋体"/>
          <w:color w:val="auto"/>
          <w:szCs w:val="22"/>
          <w:highlight w:val="none"/>
        </w:rPr>
        <w:t>（1） 中标供应商退货并将货款退还给采购人，由此发生的一切费用和损失由中标供应商承担。</w:t>
      </w:r>
    </w:p>
    <w:p>
      <w:pPr>
        <w:snapToGrid w:val="0"/>
        <w:spacing w:line="400" w:lineRule="exact"/>
        <w:ind w:firstLine="440" w:firstLineChars="200"/>
        <w:rPr>
          <w:rFonts w:hint="eastAsia" w:ascii="宋体"/>
          <w:color w:val="auto"/>
          <w:szCs w:val="22"/>
          <w:highlight w:val="none"/>
        </w:rPr>
      </w:pPr>
      <w:r>
        <w:rPr>
          <w:rFonts w:hint="eastAsia" w:ascii="宋体"/>
          <w:color w:val="auto"/>
          <w:szCs w:val="22"/>
          <w:highlight w:val="none"/>
        </w:rPr>
        <w:t>（2） 根据货物的质量状况以及采购人所遭受的损失，经过甲乙双方商定降低货物的价格。</w:t>
      </w:r>
    </w:p>
    <w:p>
      <w:pPr>
        <w:snapToGrid w:val="0"/>
        <w:spacing w:line="400" w:lineRule="exact"/>
        <w:ind w:firstLine="440" w:firstLineChars="200"/>
        <w:rPr>
          <w:rFonts w:hint="eastAsia" w:ascii="宋体"/>
          <w:color w:val="auto"/>
          <w:szCs w:val="22"/>
          <w:highlight w:val="none"/>
        </w:rPr>
      </w:pPr>
      <w:r>
        <w:rPr>
          <w:rFonts w:hint="eastAsia" w:ascii="宋体"/>
          <w:color w:val="auto"/>
          <w:szCs w:val="22"/>
          <w:highlight w:val="none"/>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或更换件的质量保证期。</w:t>
      </w:r>
    </w:p>
    <w:p>
      <w:pPr>
        <w:snapToGrid w:val="0"/>
        <w:spacing w:line="400" w:lineRule="exact"/>
        <w:ind w:firstLine="440" w:firstLineChars="200"/>
        <w:rPr>
          <w:rFonts w:hint="eastAsia" w:ascii="宋体"/>
          <w:color w:val="auto"/>
          <w:szCs w:val="22"/>
          <w:highlight w:val="none"/>
        </w:rPr>
      </w:pPr>
      <w:r>
        <w:rPr>
          <w:rFonts w:hint="eastAsia" w:ascii="宋体"/>
          <w:color w:val="auto"/>
          <w:szCs w:val="22"/>
          <w:highlight w:val="none"/>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pPr>
        <w:snapToGrid w:val="0"/>
        <w:spacing w:line="400" w:lineRule="exact"/>
        <w:rPr>
          <w:rFonts w:hint="eastAsia" w:ascii="宋体"/>
          <w:color w:val="auto"/>
          <w:szCs w:val="22"/>
          <w:highlight w:val="none"/>
        </w:rPr>
      </w:pPr>
      <w:r>
        <w:rPr>
          <w:rFonts w:hint="eastAsia" w:ascii="宋体"/>
          <w:color w:val="auto"/>
          <w:szCs w:val="22"/>
          <w:highlight w:val="none"/>
        </w:rPr>
        <w:t>第十四条：履约延误</w:t>
      </w:r>
    </w:p>
    <w:p>
      <w:pPr>
        <w:snapToGrid w:val="0"/>
        <w:spacing w:line="400" w:lineRule="exact"/>
        <w:rPr>
          <w:rFonts w:hint="eastAsia" w:ascii="宋体"/>
          <w:color w:val="auto"/>
          <w:szCs w:val="22"/>
          <w:highlight w:val="none"/>
        </w:rPr>
      </w:pPr>
      <w:r>
        <w:rPr>
          <w:rFonts w:hint="eastAsia" w:ascii="宋体"/>
          <w:color w:val="auto"/>
          <w:szCs w:val="22"/>
          <w:highlight w:val="none"/>
        </w:rPr>
        <w:t xml:space="preserve">    1、中标供应商应按照《合同》规定的时间、地点交货和提供服务。</w:t>
      </w:r>
    </w:p>
    <w:p>
      <w:pPr>
        <w:snapToGrid w:val="0"/>
        <w:spacing w:line="400" w:lineRule="exact"/>
        <w:rPr>
          <w:rFonts w:hint="eastAsia" w:ascii="宋体"/>
          <w:color w:val="auto"/>
          <w:szCs w:val="22"/>
          <w:highlight w:val="none"/>
        </w:rPr>
      </w:pPr>
      <w:r>
        <w:rPr>
          <w:rFonts w:hint="eastAsia" w:ascii="宋体"/>
          <w:color w:val="auto"/>
          <w:szCs w:val="22"/>
          <w:highlight w:val="none"/>
        </w:rPr>
        <w:t xml:space="preserve">    2、在履行《合同》过程中，如果中标供应商可能遇到妨碍按时交货和提供服务的情况时，应及时将拖延的事实、可能拖延的期限和理由通知采购人。采购人在收到中标供应商供应商通知后，应尽快对情况进行评价，并确定是否同意延长交货时间或延期提供服务。</w:t>
      </w:r>
    </w:p>
    <w:p>
      <w:pPr>
        <w:snapToGrid w:val="0"/>
        <w:spacing w:line="440" w:lineRule="atLeast"/>
        <w:ind w:firstLine="440" w:firstLineChars="200"/>
        <w:rPr>
          <w:rFonts w:hint="eastAsia" w:ascii="宋体"/>
          <w:color w:val="auto"/>
          <w:szCs w:val="22"/>
          <w:highlight w:val="none"/>
        </w:rPr>
      </w:pPr>
      <w:r>
        <w:rPr>
          <w:rFonts w:hint="eastAsia" w:ascii="宋体"/>
          <w:color w:val="auto"/>
          <w:szCs w:val="22"/>
          <w:highlight w:val="none"/>
        </w:rPr>
        <w:t>3、如中标供应商无正当理由而拖延交货，经协商无效,采购人有权终止合同，并按中标供应商违约处理。</w:t>
      </w:r>
    </w:p>
    <w:p>
      <w:pPr>
        <w:snapToGrid w:val="0"/>
        <w:spacing w:line="440" w:lineRule="atLeast"/>
        <w:ind w:firstLine="440" w:firstLineChars="200"/>
        <w:rPr>
          <w:rFonts w:ascii="宋体" w:eastAsia="宋体"/>
          <w:b w:val="0"/>
          <w:bCs/>
          <w:color w:val="auto"/>
          <w:sz w:val="22"/>
          <w:highlight w:val="none"/>
        </w:rPr>
      </w:pPr>
      <w:r>
        <w:rPr>
          <w:rFonts w:hint="eastAsia" w:ascii="宋体" w:eastAsia="宋体"/>
          <w:b w:val="0"/>
          <w:bCs/>
          <w:color w:val="auto"/>
          <w:sz w:val="22"/>
          <w:highlight w:val="none"/>
          <w:lang w:val="en-US" w:eastAsia="zh-CN"/>
        </w:rPr>
        <w:t>4</w:t>
      </w:r>
      <w:r>
        <w:rPr>
          <w:rFonts w:hint="eastAsia" w:ascii="宋体" w:eastAsia="宋体"/>
          <w:b w:val="0"/>
          <w:bCs/>
          <w:color w:val="auto"/>
          <w:sz w:val="22"/>
          <w:highlight w:val="none"/>
        </w:rPr>
        <w:t>、中标供应商应当确保提供的车辆符合车型公告、上牌要求等国家标准，如因中标供应商原因造成</w:t>
      </w:r>
      <w:r>
        <w:rPr>
          <w:rFonts w:hint="eastAsia" w:ascii="宋体" w:eastAsia="宋体"/>
          <w:b w:val="0"/>
          <w:bCs/>
          <w:color w:val="auto"/>
          <w:sz w:val="22"/>
          <w:highlight w:val="none"/>
          <w:lang w:val="en-US" w:eastAsia="zh-CN"/>
        </w:rPr>
        <w:t>15</w:t>
      </w:r>
      <w:r>
        <w:rPr>
          <w:rFonts w:hint="eastAsia" w:ascii="宋体"/>
          <w:color w:val="auto"/>
          <w:szCs w:val="22"/>
          <w:highlight w:val="none"/>
        </w:rPr>
        <w:t>天</w:t>
      </w:r>
      <w:r>
        <w:rPr>
          <w:rFonts w:ascii="宋体" w:eastAsia="宋体"/>
          <w:b w:val="0"/>
          <w:bCs/>
          <w:color w:val="auto"/>
          <w:sz w:val="22"/>
          <w:highlight w:val="none"/>
        </w:rPr>
        <w:t>内无法完成上牌的，供应商全额退款给采购人并且承担一切损失费用，同时支付30%中标价的赔偿金给采购人。</w:t>
      </w:r>
    </w:p>
    <w:p>
      <w:pPr>
        <w:snapToGrid w:val="0"/>
        <w:spacing w:line="400" w:lineRule="exact"/>
        <w:rPr>
          <w:rFonts w:hint="eastAsia" w:ascii="宋体"/>
          <w:color w:val="auto"/>
          <w:szCs w:val="22"/>
          <w:highlight w:val="none"/>
        </w:rPr>
      </w:pPr>
      <w:r>
        <w:rPr>
          <w:rFonts w:hint="eastAsia" w:ascii="宋体"/>
          <w:color w:val="auto"/>
          <w:szCs w:val="22"/>
          <w:highlight w:val="none"/>
        </w:rPr>
        <w:t xml:space="preserve"> 第十五条：不可抗力</w:t>
      </w:r>
    </w:p>
    <w:p>
      <w:pPr>
        <w:snapToGrid w:val="0"/>
        <w:spacing w:line="400" w:lineRule="exact"/>
        <w:rPr>
          <w:rFonts w:hint="eastAsia" w:ascii="宋体"/>
          <w:color w:val="auto"/>
          <w:szCs w:val="22"/>
          <w:highlight w:val="none"/>
        </w:rPr>
      </w:pPr>
      <w:r>
        <w:rPr>
          <w:rFonts w:hint="eastAsia" w:ascii="宋体"/>
          <w:color w:val="auto"/>
          <w:szCs w:val="22"/>
          <w:highlight w:val="none"/>
        </w:rPr>
        <w:t xml:space="preserve">    1、如果合同各方因不可抗力而导致合同实施延误或不能履行合同义务的话，不应该承担误期赔偿或不能履行合同义务的责任。</w:t>
      </w:r>
    </w:p>
    <w:p>
      <w:pPr>
        <w:snapToGrid w:val="0"/>
        <w:spacing w:line="400" w:lineRule="exact"/>
        <w:rPr>
          <w:rFonts w:hint="eastAsia" w:ascii="宋体"/>
          <w:color w:val="auto"/>
          <w:szCs w:val="22"/>
          <w:highlight w:val="none"/>
        </w:rPr>
      </w:pPr>
      <w:r>
        <w:rPr>
          <w:rFonts w:hint="eastAsia" w:ascii="宋体"/>
          <w:color w:val="auto"/>
          <w:szCs w:val="22"/>
          <w:highlight w:val="none"/>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pPr>
        <w:snapToGrid w:val="0"/>
        <w:spacing w:line="400" w:lineRule="exact"/>
        <w:rPr>
          <w:rFonts w:hint="eastAsia" w:ascii="宋体"/>
          <w:color w:val="auto"/>
          <w:szCs w:val="22"/>
          <w:highlight w:val="none"/>
        </w:rPr>
      </w:pPr>
      <w:r>
        <w:rPr>
          <w:rFonts w:hint="eastAsia" w:ascii="宋体"/>
          <w:color w:val="auto"/>
          <w:szCs w:val="22"/>
          <w:highlight w:val="none"/>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24"/>
        <w:snapToGrid w:val="0"/>
        <w:spacing w:line="400" w:lineRule="exact"/>
        <w:rPr>
          <w:rFonts w:hint="eastAsia" w:hAnsi="宋体"/>
          <w:color w:val="auto"/>
          <w:sz w:val="22"/>
          <w:szCs w:val="22"/>
          <w:highlight w:val="none"/>
        </w:rPr>
      </w:pPr>
      <w:r>
        <w:rPr>
          <w:rFonts w:hint="eastAsia" w:hAnsi="宋体"/>
          <w:color w:val="auto"/>
          <w:sz w:val="22"/>
          <w:szCs w:val="22"/>
          <w:highlight w:val="none"/>
        </w:rPr>
        <w:t>第十六条：争议的解决</w:t>
      </w:r>
    </w:p>
    <w:p>
      <w:pPr>
        <w:pStyle w:val="24"/>
        <w:snapToGrid w:val="0"/>
        <w:spacing w:line="400" w:lineRule="exact"/>
        <w:ind w:firstLine="480"/>
        <w:rPr>
          <w:rFonts w:hint="eastAsia" w:hAnsi="宋体"/>
          <w:color w:val="auto"/>
          <w:sz w:val="22"/>
          <w:szCs w:val="22"/>
          <w:highlight w:val="none"/>
        </w:rPr>
      </w:pPr>
      <w:r>
        <w:rPr>
          <w:rFonts w:hint="eastAsia" w:hAnsi="宋体"/>
          <w:color w:val="auto"/>
          <w:sz w:val="22"/>
          <w:szCs w:val="22"/>
          <w:highlight w:val="none"/>
        </w:rPr>
        <w:t>在发生所供商品的质量、售后服务等问题时，采购人有权直接向中标供应商索赔，签订必要的书面处理合同。协商不能解决的，任何一方有权在合同签约地选择仲裁或诉讼的途径解决。</w:t>
      </w:r>
    </w:p>
    <w:p>
      <w:pPr>
        <w:snapToGrid w:val="0"/>
        <w:spacing w:line="400" w:lineRule="exact"/>
        <w:rPr>
          <w:rFonts w:hint="eastAsia" w:ascii="宋体"/>
          <w:color w:val="auto"/>
          <w:szCs w:val="22"/>
          <w:highlight w:val="none"/>
        </w:rPr>
      </w:pPr>
      <w:r>
        <w:rPr>
          <w:rFonts w:hint="eastAsia" w:ascii="宋体"/>
          <w:color w:val="auto"/>
          <w:szCs w:val="22"/>
          <w:highlight w:val="none"/>
        </w:rPr>
        <w:t>第十七条：违约处理</w:t>
      </w:r>
    </w:p>
    <w:p>
      <w:pPr>
        <w:snapToGrid w:val="0"/>
        <w:spacing w:line="400" w:lineRule="exact"/>
        <w:rPr>
          <w:rFonts w:hint="eastAsia" w:ascii="宋体"/>
          <w:color w:val="auto"/>
          <w:szCs w:val="22"/>
          <w:highlight w:val="none"/>
        </w:rPr>
      </w:pPr>
      <w:r>
        <w:rPr>
          <w:rFonts w:hint="eastAsia" w:ascii="宋体"/>
          <w:color w:val="auto"/>
          <w:szCs w:val="22"/>
          <w:highlight w:val="none"/>
        </w:rPr>
        <w:t xml:space="preserve">    1、在采购人对中标供应商违约而采取的任何补救措施不受影响的情况下，采购人可在下列情况下向中标供应商发出书面通知书，提出终止部分或全部合同。</w:t>
      </w:r>
    </w:p>
    <w:p>
      <w:pPr>
        <w:snapToGrid w:val="0"/>
        <w:spacing w:line="400" w:lineRule="exact"/>
        <w:outlineLvl w:val="0"/>
        <w:rPr>
          <w:rFonts w:hint="eastAsia" w:ascii="宋体"/>
          <w:color w:val="auto"/>
          <w:szCs w:val="22"/>
          <w:highlight w:val="none"/>
        </w:rPr>
      </w:pPr>
      <w:r>
        <w:rPr>
          <w:rFonts w:hint="eastAsia" w:ascii="宋体"/>
          <w:color w:val="auto"/>
          <w:szCs w:val="22"/>
          <w:highlight w:val="none"/>
        </w:rPr>
        <w:t xml:space="preserve">   （1）中标供应商提供的产品质量、配置不符合国家规定和承诺的标准；</w:t>
      </w:r>
    </w:p>
    <w:p>
      <w:pPr>
        <w:snapToGrid w:val="0"/>
        <w:spacing w:line="400" w:lineRule="exact"/>
        <w:ind w:firstLine="360"/>
        <w:rPr>
          <w:rFonts w:hint="eastAsia" w:ascii="宋体"/>
          <w:color w:val="auto"/>
          <w:szCs w:val="22"/>
          <w:highlight w:val="none"/>
        </w:rPr>
      </w:pPr>
      <w:r>
        <w:rPr>
          <w:rFonts w:hint="eastAsia" w:ascii="宋体"/>
          <w:color w:val="auto"/>
          <w:szCs w:val="22"/>
          <w:highlight w:val="none"/>
        </w:rPr>
        <w:t>（2）中标供应商没有按承诺的时间供货、维修或提供其他服务；</w:t>
      </w:r>
    </w:p>
    <w:p>
      <w:pPr>
        <w:snapToGrid w:val="0"/>
        <w:spacing w:line="400" w:lineRule="exact"/>
        <w:outlineLvl w:val="0"/>
        <w:rPr>
          <w:rFonts w:hint="eastAsia" w:ascii="宋体"/>
          <w:color w:val="auto"/>
          <w:szCs w:val="22"/>
          <w:highlight w:val="none"/>
        </w:rPr>
      </w:pPr>
      <w:r>
        <w:rPr>
          <w:rFonts w:hint="eastAsia" w:ascii="宋体"/>
          <w:color w:val="auto"/>
          <w:szCs w:val="22"/>
          <w:highlight w:val="none"/>
        </w:rPr>
        <w:t xml:space="preserve">   （3）中标供应商没有按承诺的价格或优惠率签订合同并供货；</w:t>
      </w:r>
    </w:p>
    <w:p>
      <w:pPr>
        <w:snapToGrid w:val="0"/>
        <w:spacing w:line="400" w:lineRule="exact"/>
        <w:rPr>
          <w:rFonts w:hint="eastAsia" w:ascii="宋体"/>
          <w:color w:val="auto"/>
          <w:szCs w:val="22"/>
          <w:highlight w:val="none"/>
        </w:rPr>
      </w:pPr>
      <w:r>
        <w:rPr>
          <w:rFonts w:hint="eastAsia" w:ascii="宋体"/>
          <w:color w:val="auto"/>
          <w:szCs w:val="22"/>
          <w:highlight w:val="none"/>
        </w:rPr>
        <w:t xml:space="preserve">    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pPr>
        <w:snapToGrid w:val="0"/>
        <w:spacing w:line="400" w:lineRule="exact"/>
        <w:rPr>
          <w:rFonts w:hint="eastAsia" w:ascii="宋体"/>
          <w:color w:val="auto"/>
          <w:szCs w:val="22"/>
          <w:highlight w:val="none"/>
        </w:rPr>
      </w:pPr>
      <w:r>
        <w:rPr>
          <w:rFonts w:hint="eastAsia" w:ascii="宋体"/>
          <w:color w:val="auto"/>
          <w:szCs w:val="22"/>
          <w:highlight w:val="none"/>
        </w:rPr>
        <w:t>第十八条：合同转让和分包</w:t>
      </w:r>
    </w:p>
    <w:p>
      <w:pPr>
        <w:snapToGrid w:val="0"/>
        <w:spacing w:line="400" w:lineRule="exact"/>
        <w:rPr>
          <w:rFonts w:hint="eastAsia" w:ascii="宋体"/>
          <w:color w:val="auto"/>
          <w:szCs w:val="22"/>
          <w:highlight w:val="none"/>
        </w:rPr>
      </w:pPr>
      <w:r>
        <w:rPr>
          <w:rFonts w:hint="eastAsia" w:ascii="宋体"/>
          <w:color w:val="auto"/>
          <w:szCs w:val="22"/>
          <w:highlight w:val="none"/>
        </w:rPr>
        <w:t xml:space="preserve">    除采购人事先书面同意外，中标供应商不得转让和分包其应履行的合同义务。</w:t>
      </w:r>
    </w:p>
    <w:p>
      <w:pPr>
        <w:snapToGrid w:val="0"/>
        <w:spacing w:line="400" w:lineRule="exact"/>
        <w:rPr>
          <w:rFonts w:hint="eastAsia" w:ascii="宋体"/>
          <w:color w:val="auto"/>
          <w:szCs w:val="22"/>
          <w:highlight w:val="none"/>
        </w:rPr>
      </w:pPr>
      <w:r>
        <w:rPr>
          <w:rFonts w:hint="eastAsia" w:ascii="宋体"/>
          <w:color w:val="auto"/>
          <w:szCs w:val="22"/>
          <w:highlight w:val="none"/>
        </w:rPr>
        <w:t>第十九条：合同生效</w:t>
      </w:r>
    </w:p>
    <w:p>
      <w:pPr>
        <w:pStyle w:val="24"/>
        <w:snapToGrid w:val="0"/>
        <w:spacing w:line="400" w:lineRule="exact"/>
        <w:ind w:firstLine="482"/>
        <w:rPr>
          <w:rFonts w:hint="eastAsia" w:hAnsi="宋体"/>
          <w:color w:val="auto"/>
          <w:sz w:val="22"/>
          <w:szCs w:val="22"/>
          <w:highlight w:val="none"/>
        </w:rPr>
      </w:pPr>
      <w:r>
        <w:rPr>
          <w:rFonts w:hint="eastAsia" w:hAnsi="宋体"/>
          <w:color w:val="auto"/>
          <w:sz w:val="22"/>
          <w:szCs w:val="22"/>
          <w:highlight w:val="none"/>
        </w:rPr>
        <w:t>1、如上述文件与本合同有不符之处，以有利于采购人的为准。</w:t>
      </w:r>
    </w:p>
    <w:p>
      <w:pPr>
        <w:pStyle w:val="24"/>
        <w:snapToGrid w:val="0"/>
        <w:spacing w:line="400" w:lineRule="exact"/>
        <w:ind w:firstLine="482"/>
        <w:rPr>
          <w:rFonts w:hint="eastAsia" w:hAnsi="宋体"/>
          <w:color w:val="auto"/>
          <w:sz w:val="22"/>
          <w:szCs w:val="22"/>
          <w:highlight w:val="none"/>
          <w:u w:val="single"/>
        </w:rPr>
      </w:pPr>
      <w:r>
        <w:rPr>
          <w:rFonts w:hint="eastAsia" w:hAnsi="宋体"/>
          <w:color w:val="auto"/>
          <w:sz w:val="22"/>
          <w:szCs w:val="22"/>
          <w:highlight w:val="none"/>
        </w:rPr>
        <w:t>2、</w:t>
      </w:r>
      <w:r>
        <w:rPr>
          <w:rFonts w:hint="eastAsia" w:hAnsi="宋体"/>
          <w:color w:val="auto"/>
          <w:sz w:val="22"/>
          <w:szCs w:val="22"/>
          <w:highlight w:val="none"/>
          <w:u w:val="single"/>
        </w:rPr>
        <w:t>本合同在甲方收到乙方提交的履约保证金，且经双方法定代表人或授权代表签署，甲、乙双方加盖印章后合同生效。</w:t>
      </w:r>
    </w:p>
    <w:p>
      <w:pPr>
        <w:pStyle w:val="24"/>
        <w:snapToGrid w:val="0"/>
        <w:spacing w:line="400" w:lineRule="exact"/>
        <w:ind w:firstLine="482"/>
        <w:rPr>
          <w:rFonts w:hint="eastAsia" w:hAnsi="宋体"/>
          <w:color w:val="auto"/>
          <w:sz w:val="22"/>
          <w:szCs w:val="22"/>
          <w:highlight w:val="none"/>
        </w:rPr>
      </w:pPr>
      <w:r>
        <w:rPr>
          <w:rFonts w:hint="eastAsia" w:hAnsi="宋体"/>
          <w:color w:val="auto"/>
          <w:sz w:val="22"/>
          <w:szCs w:val="22"/>
          <w:highlight w:val="none"/>
        </w:rPr>
        <w:t>3、本合同一式柒份，甲乙双方各贰份，平阳县公共资源交易中心、</w:t>
      </w:r>
      <w:r>
        <w:rPr>
          <w:rFonts w:hint="eastAsia" w:hAnsi="宋体" w:cs="宋体"/>
          <w:color w:val="auto"/>
          <w:kern w:val="0"/>
          <w:sz w:val="22"/>
          <w:szCs w:val="22"/>
          <w:highlight w:val="none"/>
        </w:rPr>
        <w:t>平阳县</w:t>
      </w:r>
      <w:r>
        <w:rPr>
          <w:rFonts w:hint="eastAsia" w:cs="宋体"/>
          <w:color w:val="auto"/>
          <w:kern w:val="0"/>
          <w:sz w:val="22"/>
          <w:szCs w:val="22"/>
          <w:highlight w:val="none"/>
        </w:rPr>
        <w:t>财政局国企组织科、</w:t>
      </w:r>
      <w:r>
        <w:rPr>
          <w:rFonts w:hint="eastAsia" w:hAnsi="宋体"/>
          <w:color w:val="auto"/>
          <w:sz w:val="22"/>
          <w:szCs w:val="22"/>
          <w:highlight w:val="none"/>
        </w:rPr>
        <w:t>浙江品信工程项目管理有限公司各执壹份。</w:t>
      </w:r>
    </w:p>
    <w:p>
      <w:pPr>
        <w:snapToGrid w:val="0"/>
        <w:spacing w:line="400" w:lineRule="exact"/>
        <w:rPr>
          <w:rFonts w:hint="eastAsia" w:ascii="宋体"/>
          <w:color w:val="auto"/>
          <w:szCs w:val="22"/>
          <w:highlight w:val="none"/>
        </w:rPr>
      </w:pPr>
      <w:r>
        <w:rPr>
          <w:rFonts w:hint="eastAsia" w:ascii="宋体"/>
          <w:color w:val="auto"/>
          <w:szCs w:val="22"/>
          <w:highlight w:val="none"/>
        </w:rPr>
        <w:t>第二十条：合同修改</w:t>
      </w:r>
    </w:p>
    <w:p>
      <w:pPr>
        <w:snapToGrid w:val="0"/>
        <w:spacing w:line="400" w:lineRule="exact"/>
        <w:ind w:firstLine="480"/>
        <w:rPr>
          <w:rFonts w:hint="eastAsia" w:ascii="宋体"/>
          <w:color w:val="auto"/>
          <w:szCs w:val="22"/>
          <w:highlight w:val="none"/>
        </w:rPr>
      </w:pPr>
      <w:r>
        <w:rPr>
          <w:rFonts w:hint="eastAsia" w:ascii="宋体"/>
          <w:color w:val="auto"/>
          <w:szCs w:val="22"/>
          <w:highlight w:val="none"/>
        </w:rPr>
        <w:t>除了双方签署书面修改合同，并成为本合同不可分割的一部分之外，本合同条件不得有任何变化或修改。</w:t>
      </w:r>
    </w:p>
    <w:p>
      <w:pPr>
        <w:pStyle w:val="24"/>
        <w:snapToGrid w:val="0"/>
        <w:spacing w:line="400" w:lineRule="exact"/>
        <w:rPr>
          <w:rFonts w:hint="eastAsia" w:hAnsi="宋体"/>
          <w:color w:val="auto"/>
          <w:sz w:val="22"/>
          <w:szCs w:val="22"/>
          <w:highlight w:val="none"/>
        </w:rPr>
      </w:pPr>
      <w:r>
        <w:rPr>
          <w:rFonts w:hint="eastAsia" w:hAnsi="宋体"/>
          <w:color w:val="auto"/>
          <w:sz w:val="22"/>
          <w:szCs w:val="22"/>
          <w:highlight w:val="none"/>
        </w:rPr>
        <w:t>第二十一条 合同附件</w:t>
      </w:r>
    </w:p>
    <w:p>
      <w:pPr>
        <w:snapToGrid w:val="0"/>
        <w:spacing w:line="400" w:lineRule="exact"/>
        <w:textAlignment w:val="baseline"/>
        <w:rPr>
          <w:rFonts w:hint="eastAsia" w:ascii="宋体"/>
          <w:color w:val="auto"/>
          <w:szCs w:val="22"/>
          <w:highlight w:val="none"/>
        </w:rPr>
      </w:pPr>
      <w:r>
        <w:rPr>
          <w:rFonts w:hint="eastAsia" w:ascii="宋体"/>
          <w:color w:val="auto"/>
          <w:szCs w:val="22"/>
          <w:highlight w:val="none"/>
        </w:rPr>
        <w:t xml:space="preserve">    下列文件与本合同具有同等法律效力：</w:t>
      </w:r>
    </w:p>
    <w:p>
      <w:pPr>
        <w:snapToGrid w:val="0"/>
        <w:spacing w:line="400" w:lineRule="exact"/>
        <w:ind w:firstLine="431" w:firstLineChars="196"/>
        <w:textAlignment w:val="baseline"/>
        <w:rPr>
          <w:rFonts w:hint="eastAsia" w:ascii="宋体"/>
          <w:color w:val="auto"/>
          <w:szCs w:val="22"/>
          <w:highlight w:val="none"/>
        </w:rPr>
      </w:pPr>
      <w:r>
        <w:rPr>
          <w:rFonts w:hint="eastAsia" w:ascii="宋体"/>
          <w:color w:val="auto"/>
          <w:szCs w:val="22"/>
          <w:highlight w:val="none"/>
        </w:rPr>
        <w:t>1、采购人的采购文件与采购补充文件；</w:t>
      </w:r>
    </w:p>
    <w:p>
      <w:pPr>
        <w:snapToGrid w:val="0"/>
        <w:spacing w:line="400" w:lineRule="exact"/>
        <w:ind w:firstLine="431" w:firstLineChars="196"/>
        <w:textAlignment w:val="baseline"/>
        <w:rPr>
          <w:rFonts w:hint="eastAsia" w:ascii="宋体"/>
          <w:color w:val="auto"/>
          <w:szCs w:val="22"/>
          <w:highlight w:val="none"/>
        </w:rPr>
      </w:pPr>
      <w:r>
        <w:rPr>
          <w:rFonts w:hint="eastAsia" w:ascii="宋体"/>
          <w:color w:val="auto"/>
          <w:szCs w:val="22"/>
          <w:highlight w:val="none"/>
        </w:rPr>
        <w:t>2、中标供应商谈判文件；</w:t>
      </w:r>
    </w:p>
    <w:p>
      <w:pPr>
        <w:pStyle w:val="24"/>
        <w:snapToGrid w:val="0"/>
        <w:spacing w:line="400" w:lineRule="exact"/>
        <w:ind w:firstLine="323" w:firstLineChars="147"/>
        <w:textAlignment w:val="baseline"/>
        <w:rPr>
          <w:rFonts w:hint="eastAsia" w:hAnsi="宋体"/>
          <w:color w:val="auto"/>
          <w:sz w:val="22"/>
          <w:szCs w:val="22"/>
          <w:highlight w:val="none"/>
        </w:rPr>
      </w:pPr>
      <w:r>
        <w:rPr>
          <w:rFonts w:hint="eastAsia" w:hAnsi="宋体"/>
          <w:color w:val="auto"/>
          <w:sz w:val="22"/>
          <w:szCs w:val="22"/>
          <w:highlight w:val="none"/>
        </w:rPr>
        <w:t xml:space="preserve"> 3、询标纪要和承诺书。</w:t>
      </w:r>
    </w:p>
    <w:p>
      <w:pPr>
        <w:snapToGrid w:val="0"/>
        <w:spacing w:line="400" w:lineRule="exact"/>
        <w:ind w:firstLine="440" w:firstLineChars="200"/>
        <w:rPr>
          <w:rFonts w:hint="eastAsia" w:ascii="宋体" w:hAnsi="宋体"/>
          <w:color w:val="auto"/>
          <w:szCs w:val="22"/>
          <w:highlight w:val="none"/>
        </w:rPr>
      </w:pPr>
      <w:r>
        <w:rPr>
          <w:rFonts w:hint="eastAsia" w:ascii="宋体"/>
          <w:color w:val="auto"/>
          <w:szCs w:val="22"/>
          <w:highlight w:val="none"/>
        </w:rPr>
        <w:t>4、中标通知书</w:t>
      </w:r>
    </w:p>
    <w:p>
      <w:pPr>
        <w:snapToGrid w:val="0"/>
        <w:spacing w:line="400" w:lineRule="exact"/>
        <w:ind w:firstLine="431" w:firstLineChars="196"/>
        <w:rPr>
          <w:rFonts w:hint="eastAsia" w:ascii="宋体" w:hAnsi="宋体"/>
          <w:color w:val="auto"/>
          <w:szCs w:val="22"/>
          <w:highlight w:val="none"/>
        </w:rPr>
      </w:pPr>
      <w:r>
        <w:rPr>
          <w:rFonts w:hint="eastAsia" w:ascii="宋体" w:hAnsi="宋体"/>
          <w:color w:val="auto"/>
          <w:szCs w:val="22"/>
          <w:highlight w:val="none"/>
        </w:rPr>
        <w:t>采购人(盖章)：                                          中标供应商（盖章）</w:t>
      </w:r>
    </w:p>
    <w:p>
      <w:pPr>
        <w:snapToGrid w:val="0"/>
        <w:spacing w:line="400" w:lineRule="exact"/>
        <w:ind w:firstLine="431" w:firstLineChars="196"/>
        <w:rPr>
          <w:rFonts w:hint="eastAsia" w:ascii="宋体" w:hAnsi="宋体"/>
          <w:color w:val="auto"/>
          <w:szCs w:val="22"/>
          <w:highlight w:val="none"/>
        </w:rPr>
      </w:pPr>
      <w:r>
        <w:rPr>
          <w:rFonts w:hint="eastAsia" w:ascii="宋体" w:hAnsi="宋体"/>
          <w:color w:val="auto"/>
          <w:szCs w:val="22"/>
          <w:highlight w:val="none"/>
        </w:rPr>
        <w:t>法定代表人：                                            法定代表人：</w:t>
      </w:r>
    </w:p>
    <w:p>
      <w:pPr>
        <w:snapToGrid w:val="0"/>
        <w:spacing w:line="400" w:lineRule="exact"/>
        <w:ind w:firstLine="431" w:firstLineChars="196"/>
        <w:rPr>
          <w:rFonts w:hint="eastAsia" w:ascii="宋体" w:hAnsi="宋体"/>
          <w:color w:val="auto"/>
          <w:szCs w:val="22"/>
          <w:highlight w:val="none"/>
        </w:rPr>
      </w:pPr>
      <w:r>
        <w:rPr>
          <w:rFonts w:hint="eastAsia" w:ascii="宋体" w:hAnsi="宋体"/>
          <w:color w:val="auto"/>
          <w:szCs w:val="22"/>
          <w:highlight w:val="none"/>
        </w:rPr>
        <w:t>开户银行：                                              开户银行：</w:t>
      </w:r>
    </w:p>
    <w:p>
      <w:pPr>
        <w:snapToGrid w:val="0"/>
        <w:spacing w:line="400" w:lineRule="exact"/>
        <w:ind w:firstLine="431" w:firstLineChars="196"/>
        <w:rPr>
          <w:rFonts w:hint="eastAsia" w:ascii="宋体" w:hAnsi="宋体"/>
          <w:color w:val="auto"/>
          <w:szCs w:val="22"/>
          <w:highlight w:val="none"/>
        </w:rPr>
      </w:pPr>
      <w:r>
        <w:rPr>
          <w:rFonts w:hint="eastAsia" w:ascii="宋体" w:hAnsi="宋体"/>
          <w:color w:val="auto"/>
          <w:szCs w:val="22"/>
          <w:highlight w:val="none"/>
        </w:rPr>
        <w:t>开户名称：                                              开户名称：</w:t>
      </w:r>
    </w:p>
    <w:p>
      <w:pPr>
        <w:snapToGrid w:val="0"/>
        <w:spacing w:line="400" w:lineRule="exact"/>
        <w:ind w:firstLine="431" w:firstLineChars="196"/>
        <w:rPr>
          <w:rFonts w:hint="eastAsia" w:ascii="宋体" w:hAnsi="宋体"/>
          <w:color w:val="auto"/>
          <w:szCs w:val="22"/>
          <w:highlight w:val="none"/>
        </w:rPr>
      </w:pPr>
      <w:r>
        <w:rPr>
          <w:rFonts w:hint="eastAsia" w:ascii="宋体" w:hAnsi="宋体"/>
          <w:color w:val="auto"/>
          <w:szCs w:val="22"/>
          <w:highlight w:val="none"/>
        </w:rPr>
        <w:t>账号：                                                  账号：</w:t>
      </w:r>
    </w:p>
    <w:p>
      <w:pPr>
        <w:tabs>
          <w:tab w:val="left" w:pos="180"/>
        </w:tabs>
        <w:ind w:left="558" w:leftChars="200" w:hanging="118" w:hangingChars="54"/>
        <w:rPr>
          <w:rFonts w:hint="eastAsia" w:ascii="宋体" w:hAnsi="宋体" w:cs="宋体"/>
          <w:color w:val="auto"/>
          <w:sz w:val="24"/>
          <w:szCs w:val="21"/>
          <w:highlight w:val="none"/>
        </w:rPr>
      </w:pPr>
      <w:r>
        <w:rPr>
          <w:rFonts w:hint="eastAsia" w:ascii="宋体" w:hAnsi="宋体"/>
          <w:color w:val="auto"/>
          <w:szCs w:val="22"/>
          <w:highlight w:val="none"/>
        </w:rPr>
        <w:t>签约日期：                                              签约地点：</w:t>
      </w:r>
    </w:p>
    <w:p>
      <w:pPr>
        <w:spacing w:line="400" w:lineRule="exact"/>
        <w:rPr>
          <w:rFonts w:hint="eastAsia" w:ascii="宋体" w:hAnsi="宋体" w:cs="宋体"/>
          <w:color w:val="auto"/>
          <w:szCs w:val="22"/>
          <w:highlight w:val="none"/>
        </w:rPr>
      </w:pPr>
    </w:p>
    <w:p>
      <w:pPr>
        <w:pStyle w:val="21"/>
        <w:spacing w:before="120" w:after="120"/>
        <w:ind w:left="447" w:hanging="447"/>
        <w:rPr>
          <w:rFonts w:hint="eastAsia"/>
          <w:color w:val="auto"/>
          <w:highlight w:val="none"/>
        </w:rPr>
      </w:pPr>
    </w:p>
    <w:p>
      <w:pPr>
        <w:tabs>
          <w:tab w:val="left" w:pos="180"/>
        </w:tabs>
        <w:ind w:left="616" w:leftChars="1" w:hanging="614" w:hangingChars="256"/>
        <w:rPr>
          <w:rFonts w:hint="eastAsia" w:ascii="宋体" w:hAnsi="宋体" w:cs="宋体"/>
          <w:color w:val="auto"/>
          <w:sz w:val="24"/>
          <w:szCs w:val="21"/>
          <w:highlight w:val="none"/>
        </w:rPr>
      </w:pPr>
    </w:p>
    <w:p>
      <w:pPr>
        <w:pStyle w:val="21"/>
        <w:rPr>
          <w:rFonts w:hint="eastAsia" w:ascii="宋体" w:hAnsi="宋体" w:cs="宋体"/>
          <w:color w:val="auto"/>
          <w:sz w:val="24"/>
          <w:szCs w:val="21"/>
          <w:highlight w:val="none"/>
        </w:rPr>
      </w:pPr>
    </w:p>
    <w:p>
      <w:pPr>
        <w:pStyle w:val="21"/>
        <w:rPr>
          <w:rFonts w:hint="eastAsia" w:ascii="宋体" w:hAnsi="宋体" w:cs="宋体"/>
          <w:color w:val="auto"/>
          <w:sz w:val="24"/>
          <w:szCs w:val="21"/>
          <w:highlight w:val="none"/>
        </w:rPr>
      </w:pPr>
    </w:p>
    <w:p>
      <w:pPr>
        <w:pStyle w:val="21"/>
        <w:rPr>
          <w:rFonts w:hint="eastAsia" w:ascii="宋体" w:hAnsi="宋体" w:cs="宋体"/>
          <w:color w:val="auto"/>
          <w:sz w:val="24"/>
          <w:szCs w:val="21"/>
          <w:highlight w:val="none"/>
        </w:rPr>
      </w:pPr>
    </w:p>
    <w:p>
      <w:pPr>
        <w:pStyle w:val="21"/>
        <w:rPr>
          <w:rFonts w:hint="eastAsia" w:ascii="宋体" w:hAnsi="宋体" w:cs="宋体"/>
          <w:color w:val="auto"/>
          <w:sz w:val="24"/>
          <w:szCs w:val="21"/>
          <w:highlight w:val="none"/>
        </w:rPr>
      </w:pPr>
    </w:p>
    <w:p>
      <w:pPr>
        <w:pStyle w:val="21"/>
        <w:rPr>
          <w:rFonts w:hint="eastAsia" w:ascii="宋体" w:hAnsi="宋体" w:cs="宋体"/>
          <w:color w:val="auto"/>
          <w:sz w:val="24"/>
          <w:szCs w:val="21"/>
          <w:highlight w:val="none"/>
        </w:rPr>
      </w:pPr>
    </w:p>
    <w:p>
      <w:pPr>
        <w:pStyle w:val="21"/>
        <w:rPr>
          <w:rFonts w:hint="eastAsia" w:ascii="宋体" w:hAnsi="宋体" w:cs="宋体"/>
          <w:color w:val="auto"/>
          <w:sz w:val="24"/>
          <w:szCs w:val="21"/>
          <w:highlight w:val="none"/>
        </w:rPr>
      </w:pPr>
    </w:p>
    <w:p>
      <w:pPr>
        <w:pStyle w:val="21"/>
        <w:rPr>
          <w:rFonts w:hint="eastAsia" w:ascii="宋体" w:hAnsi="宋体" w:cs="宋体"/>
          <w:color w:val="auto"/>
          <w:sz w:val="24"/>
          <w:szCs w:val="21"/>
          <w:highlight w:val="none"/>
        </w:rPr>
      </w:pPr>
    </w:p>
    <w:p>
      <w:pPr>
        <w:pStyle w:val="21"/>
        <w:rPr>
          <w:rFonts w:hint="eastAsia" w:ascii="宋体" w:hAnsi="宋体" w:cs="宋体"/>
          <w:color w:val="auto"/>
          <w:sz w:val="24"/>
          <w:szCs w:val="21"/>
          <w:highlight w:val="none"/>
        </w:rPr>
      </w:pPr>
    </w:p>
    <w:p>
      <w:pPr>
        <w:pStyle w:val="21"/>
        <w:rPr>
          <w:rFonts w:hint="eastAsia" w:ascii="宋体" w:hAnsi="宋体" w:cs="宋体"/>
          <w:color w:val="auto"/>
          <w:sz w:val="24"/>
          <w:szCs w:val="21"/>
          <w:highlight w:val="none"/>
        </w:rPr>
      </w:pPr>
    </w:p>
    <w:p>
      <w:pPr>
        <w:spacing w:line="400" w:lineRule="exact"/>
        <w:rPr>
          <w:rFonts w:hint="eastAsia" w:ascii="宋体" w:hAnsi="宋体" w:cs="宋体"/>
          <w:color w:val="auto"/>
          <w:szCs w:val="22"/>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旧车回收协议</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乙方：</w:t>
      </w:r>
    </w:p>
    <w:p>
      <w:pPr>
        <w:keepNext w:val="0"/>
        <w:keepLines w:val="0"/>
        <w:pageBreakBefore w:val="0"/>
        <w:widowControl w:val="0"/>
        <w:kinsoku/>
        <w:wordWrap/>
        <w:overflowPunct/>
        <w:topLinePunct w:val="0"/>
        <w:autoSpaceDE/>
        <w:autoSpaceDN/>
        <w:bidi w:val="0"/>
        <w:adjustRightInd w:val="0"/>
        <w:snapToGrid w:val="0"/>
        <w:spacing w:line="48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根据国家的有关规定,经甲乙双方协商,将</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需办</w:t>
      </w:r>
      <w:r>
        <w:rPr>
          <w:rFonts w:hint="eastAsia" w:ascii="宋体" w:hAnsi="宋体" w:eastAsia="宋体" w:cs="宋体"/>
          <w:color w:val="auto"/>
          <w:sz w:val="22"/>
          <w:szCs w:val="22"/>
          <w:highlight w:val="none"/>
          <w:lang w:eastAsia="zh-CN"/>
        </w:rPr>
        <w:t>理</w:t>
      </w:r>
      <w:r>
        <w:rPr>
          <w:rFonts w:hint="eastAsia" w:ascii="宋体" w:hAnsi="宋体" w:eastAsia="宋体" w:cs="宋体"/>
          <w:color w:val="auto"/>
          <w:sz w:val="22"/>
          <w:szCs w:val="22"/>
          <w:highlight w:val="none"/>
        </w:rPr>
        <w:t>销户处理的</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辆公交</w:t>
      </w:r>
      <w:r>
        <w:rPr>
          <w:rFonts w:hint="eastAsia" w:ascii="宋体" w:hAnsi="宋体" w:eastAsia="宋体" w:cs="宋体"/>
          <w:color w:val="auto"/>
          <w:sz w:val="22"/>
          <w:szCs w:val="22"/>
          <w:highlight w:val="none"/>
        </w:rPr>
        <w:t>车辆交</w:t>
      </w:r>
      <w:r>
        <w:rPr>
          <w:rFonts w:hint="eastAsia" w:ascii="宋体" w:hAnsi="宋体" w:eastAsia="宋体" w:cs="宋体"/>
          <w:color w:val="auto"/>
          <w:sz w:val="22"/>
          <w:szCs w:val="22"/>
          <w:highlight w:val="none"/>
          <w:lang w:eastAsia="zh-CN"/>
        </w:rPr>
        <w:t>于</w:t>
      </w:r>
      <w:r>
        <w:rPr>
          <w:rFonts w:hint="eastAsia" w:ascii="宋体" w:hAnsi="宋体" w:eastAsia="宋体" w:cs="宋体"/>
          <w:color w:val="auto"/>
          <w:sz w:val="22"/>
          <w:szCs w:val="22"/>
          <w:highlight w:val="none"/>
        </w:rPr>
        <w:t>乙方并达成以下协议</w:t>
      </w:r>
      <w:r>
        <w:rPr>
          <w:rFonts w:hint="eastAsia" w:ascii="宋体" w:hAnsi="宋体" w:eastAsia="宋体" w:cs="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一</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甲方有偿转让</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辆公交车辆</w:t>
      </w: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lang w:eastAsia="zh-CN"/>
        </w:rPr>
        <w:t>按照车辆评估价转让给乙方</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二</w:t>
      </w:r>
      <w:r>
        <w:rPr>
          <w:rFonts w:hint="eastAsia" w:ascii="宋体" w:hAnsi="宋体" w:eastAsia="宋体" w:cs="宋体"/>
          <w:color w:val="auto"/>
          <w:sz w:val="22"/>
          <w:szCs w:val="22"/>
          <w:highlight w:val="none"/>
        </w:rPr>
        <w:t>、甲方交于乙方的车辆必须</w:t>
      </w:r>
      <w:r>
        <w:rPr>
          <w:rFonts w:hint="eastAsia" w:ascii="宋体" w:hAnsi="宋体" w:eastAsia="宋体" w:cs="宋体"/>
          <w:color w:val="auto"/>
          <w:sz w:val="22"/>
          <w:szCs w:val="22"/>
          <w:highlight w:val="none"/>
          <w:lang w:eastAsia="zh-CN"/>
        </w:rPr>
        <w:t>做好旧车处置相关程序，直至车辆</w:t>
      </w:r>
      <w:r>
        <w:rPr>
          <w:rFonts w:hint="eastAsia" w:ascii="宋体" w:hAnsi="宋体" w:eastAsia="宋体" w:cs="宋体"/>
          <w:color w:val="auto"/>
          <w:sz w:val="22"/>
          <w:szCs w:val="22"/>
          <w:highlight w:val="none"/>
          <w:lang w:val="en-US" w:eastAsia="zh-CN"/>
        </w:rPr>
        <w:t>过户、</w:t>
      </w:r>
      <w:r>
        <w:rPr>
          <w:rFonts w:hint="eastAsia" w:ascii="宋体" w:hAnsi="宋体" w:eastAsia="宋体" w:cs="宋体"/>
          <w:color w:val="auto"/>
          <w:sz w:val="22"/>
          <w:szCs w:val="22"/>
          <w:highlight w:val="none"/>
          <w:lang w:eastAsia="zh-CN"/>
        </w:rPr>
        <w:t>销户为止</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lang w:val="en-US" w:eastAsia="zh-CN"/>
        </w:rPr>
        <w:t>分批次移交</w:t>
      </w:r>
      <w:r>
        <w:rPr>
          <w:rFonts w:hint="eastAsia" w:ascii="宋体" w:hAnsi="宋体" w:eastAsia="宋体" w:cs="宋体"/>
          <w:color w:val="auto"/>
          <w:sz w:val="22"/>
          <w:szCs w:val="22"/>
          <w:highlight w:val="none"/>
        </w:rPr>
        <w:t>汽车的有关资料:行驶证、登记证书、车牌企业法人代码证复印件等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车辆移交乙方之日前所发生的一切事项均由甲方负责，移交之后发生的一切事项均由乙方负责。</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甲方交给乙方回收的汽车必须为车管部门显示状态正常,无查封或被盗记录。如有交通违章记录,由甲方自行负责办理。</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三</w:t>
      </w:r>
      <w:r>
        <w:rPr>
          <w:rFonts w:hint="eastAsia" w:ascii="宋体" w:hAnsi="宋体" w:eastAsia="宋体" w:cs="宋体"/>
          <w:color w:val="auto"/>
          <w:sz w:val="22"/>
          <w:szCs w:val="22"/>
          <w:highlight w:val="none"/>
        </w:rPr>
        <w:t>、乙方必须按照</w:t>
      </w:r>
      <w:r>
        <w:rPr>
          <w:rFonts w:hint="eastAsia" w:ascii="宋体" w:hAnsi="宋体" w:eastAsia="宋体" w:cs="宋体"/>
          <w:color w:val="auto"/>
          <w:sz w:val="22"/>
          <w:szCs w:val="22"/>
          <w:highlight w:val="none"/>
          <w:lang w:eastAsia="zh-CN"/>
        </w:rPr>
        <w:t>旧车清单中的评估价</w:t>
      </w:r>
      <w:r>
        <w:rPr>
          <w:rFonts w:hint="eastAsia" w:ascii="宋体" w:hAnsi="宋体" w:eastAsia="宋体" w:cs="宋体"/>
          <w:color w:val="auto"/>
          <w:sz w:val="22"/>
          <w:szCs w:val="22"/>
          <w:highlight w:val="none"/>
        </w:rPr>
        <w:t>收购</w:t>
      </w:r>
      <w:r>
        <w:rPr>
          <w:rFonts w:hint="eastAsia" w:ascii="宋体" w:hAnsi="宋体" w:eastAsia="宋体" w:cs="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四</w:t>
      </w:r>
      <w:r>
        <w:rPr>
          <w:rFonts w:hint="eastAsia" w:ascii="宋体" w:hAnsi="宋体" w:eastAsia="宋体" w:cs="宋体"/>
          <w:color w:val="auto"/>
          <w:sz w:val="22"/>
          <w:szCs w:val="22"/>
          <w:highlight w:val="none"/>
        </w:rPr>
        <w:t>、甲方将车辆和手续交于乙方后,乙方应无偿为甲方办理车管所</w:t>
      </w:r>
      <w:r>
        <w:rPr>
          <w:rFonts w:hint="eastAsia" w:ascii="宋体" w:hAnsi="宋体" w:eastAsia="宋体" w:cs="宋体"/>
          <w:color w:val="auto"/>
          <w:sz w:val="22"/>
          <w:szCs w:val="22"/>
          <w:highlight w:val="none"/>
          <w:lang w:val="en-US" w:eastAsia="zh-CN"/>
        </w:rPr>
        <w:t>过户、销户</w:t>
      </w:r>
      <w:r>
        <w:rPr>
          <w:rFonts w:hint="eastAsia" w:ascii="宋体" w:hAnsi="宋体" w:eastAsia="宋体" w:cs="宋体"/>
          <w:color w:val="auto"/>
          <w:sz w:val="22"/>
          <w:szCs w:val="22"/>
          <w:highlight w:val="none"/>
        </w:rPr>
        <w:t>手续</w:t>
      </w:r>
      <w:r>
        <w:rPr>
          <w:rFonts w:hint="eastAsia" w:ascii="宋体" w:hAnsi="宋体" w:eastAsia="宋体" w:cs="宋体"/>
          <w:color w:val="auto"/>
          <w:sz w:val="22"/>
          <w:szCs w:val="22"/>
          <w:highlight w:val="none"/>
          <w:lang w:eastAsia="zh-CN"/>
        </w:rPr>
        <w:t>，退还保险费（</w:t>
      </w:r>
      <w:r>
        <w:rPr>
          <w:rFonts w:hint="eastAsia" w:ascii="宋体" w:hAnsi="宋体" w:eastAsia="宋体" w:cs="宋体"/>
          <w:color w:val="auto"/>
          <w:sz w:val="22"/>
          <w:szCs w:val="22"/>
          <w:highlight w:val="none"/>
          <w:lang w:val="en-US" w:eastAsia="zh-CN"/>
        </w:rPr>
        <w:t>包括强制险</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五</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甲方不负责将车辆送至乙方处，由乙方自行负责</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六</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乙方应在接收到甲方移交车辆之日起</w:t>
      </w:r>
      <w:r>
        <w:rPr>
          <w:rFonts w:hint="eastAsia" w:ascii="宋体" w:hAnsi="宋体" w:eastAsia="宋体" w:cs="宋体"/>
          <w:color w:val="auto"/>
          <w:sz w:val="22"/>
          <w:szCs w:val="22"/>
          <w:highlight w:val="none"/>
          <w:u w:val="single"/>
          <w:lang w:val="en-US" w:eastAsia="zh-CN"/>
        </w:rPr>
        <w:t xml:space="preserve"> 30 </w:t>
      </w:r>
      <w:r>
        <w:rPr>
          <w:rFonts w:hint="eastAsia" w:ascii="宋体" w:hAnsi="宋体" w:eastAsia="宋体" w:cs="宋体"/>
          <w:color w:val="auto"/>
          <w:sz w:val="22"/>
          <w:szCs w:val="22"/>
          <w:highlight w:val="none"/>
          <w:lang w:val="en-US" w:eastAsia="zh-CN"/>
        </w:rPr>
        <w:t>日内，完成车辆过户、销户手续，并出具车管所的《过户证明》、《销户证明》，办好后交回甲方存档。</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七、由</w:t>
      </w:r>
      <w:r>
        <w:rPr>
          <w:rFonts w:hint="eastAsia" w:ascii="宋体" w:hAnsi="宋体" w:cs="宋体"/>
          <w:color w:val="auto"/>
          <w:sz w:val="22"/>
          <w:szCs w:val="22"/>
          <w:highlight w:val="none"/>
          <w:lang w:val="en-US" w:eastAsia="zh-CN"/>
        </w:rPr>
        <w:t>甲方</w:t>
      </w:r>
      <w:r>
        <w:rPr>
          <w:rFonts w:hint="eastAsia" w:ascii="宋体" w:hAnsi="宋体" w:eastAsia="宋体" w:cs="宋体"/>
          <w:color w:val="auto"/>
          <w:sz w:val="22"/>
          <w:szCs w:val="22"/>
          <w:highlight w:val="none"/>
          <w:lang w:val="en-US" w:eastAsia="zh-CN"/>
        </w:rPr>
        <w:t>开具发票并承担相应的税金。</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本协议一式贰份,双方各执一份。如有未尽事宜,由甲、乙双方协商并签订书面补充协议,补充协议与本协议具同等法律效力。</w:t>
      </w:r>
    </w:p>
    <w:p>
      <w:pPr>
        <w:snapToGrid w:val="0"/>
        <w:spacing w:line="40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采购人(盖章)：                                          中标供应商（盖章）</w:t>
      </w:r>
    </w:p>
    <w:p>
      <w:pPr>
        <w:snapToGrid w:val="0"/>
        <w:spacing w:line="40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法定代表人：</w:t>
      </w:r>
    </w:p>
    <w:p>
      <w:pPr>
        <w:snapToGrid w:val="0"/>
        <w:spacing w:line="40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                                              开户银行：</w:t>
      </w:r>
    </w:p>
    <w:p>
      <w:pPr>
        <w:snapToGrid w:val="0"/>
        <w:spacing w:line="40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开户名称：                                              开户名称：</w:t>
      </w:r>
    </w:p>
    <w:p>
      <w:pPr>
        <w:snapToGrid w:val="0"/>
        <w:spacing w:line="40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                                                  账号：</w:t>
      </w:r>
    </w:p>
    <w:p>
      <w:pPr>
        <w:tabs>
          <w:tab w:val="left" w:pos="180"/>
        </w:tabs>
        <w:ind w:left="558" w:leftChars="200" w:hanging="118" w:hangingChars="5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签约日期：                                              签约地点：</w:t>
      </w:r>
    </w:p>
    <w:p>
      <w:pPr>
        <w:pStyle w:val="24"/>
        <w:adjustRightInd w:val="0"/>
        <w:snapToGrid w:val="0"/>
        <w:spacing w:line="400" w:lineRule="exact"/>
        <w:jc w:val="center"/>
        <w:rPr>
          <w:rFonts w:hint="eastAsia" w:hAnsi="宋体" w:cs="宋体"/>
          <w:color w:val="auto"/>
          <w:sz w:val="36"/>
          <w:szCs w:val="36"/>
          <w:highlight w:val="none"/>
        </w:rPr>
      </w:pPr>
      <w:r>
        <w:rPr>
          <w:rFonts w:hAnsi="宋体" w:cs="宋体"/>
          <w:color w:val="auto"/>
          <w:sz w:val="36"/>
          <w:szCs w:val="36"/>
          <w:highlight w:val="none"/>
        </w:rPr>
        <w:br w:type="page"/>
      </w:r>
      <w:r>
        <w:rPr>
          <w:rFonts w:hint="eastAsia" w:hAnsi="宋体" w:cs="宋体"/>
          <w:color w:val="auto"/>
          <w:sz w:val="36"/>
          <w:szCs w:val="36"/>
          <w:highlight w:val="none"/>
        </w:rPr>
        <w:t>第六部分    附件—投标文件格式</w:t>
      </w:r>
    </w:p>
    <w:p>
      <w:pPr>
        <w:pStyle w:val="24"/>
        <w:adjustRightInd w:val="0"/>
        <w:snapToGrid w:val="0"/>
        <w:spacing w:line="500" w:lineRule="exact"/>
        <w:rPr>
          <w:rFonts w:hint="eastAsia" w:hAnsi="宋体" w:cs="宋体"/>
          <w:color w:val="auto"/>
          <w:sz w:val="36"/>
          <w:highlight w:val="none"/>
        </w:rPr>
      </w:pPr>
      <w:r>
        <w:rPr>
          <w:rFonts w:hint="eastAsia" w:hAnsi="宋体" w:cs="宋体"/>
          <w:color w:val="auto"/>
          <w:sz w:val="30"/>
          <w:highlight w:val="none"/>
        </w:rPr>
        <w:t>附件一</w:t>
      </w:r>
      <w:r>
        <w:rPr>
          <w:rFonts w:hint="eastAsia" w:hAnsi="宋体" w:cs="宋体"/>
          <w:color w:val="auto"/>
          <w:sz w:val="24"/>
          <w:highlight w:val="none"/>
        </w:rPr>
        <w:cr/>
      </w:r>
      <w:r>
        <w:rPr>
          <w:rFonts w:hint="eastAsia" w:hAnsi="宋体" w:cs="宋体"/>
          <w:color w:val="auto"/>
          <w:sz w:val="32"/>
          <w:highlight w:val="none"/>
        </w:rPr>
        <w:t xml:space="preserve">                         </w:t>
      </w:r>
      <w:r>
        <w:rPr>
          <w:rFonts w:hint="eastAsia" w:hAnsi="宋体" w:cs="宋体"/>
          <w:color w:val="auto"/>
          <w:sz w:val="36"/>
          <w:highlight w:val="none"/>
        </w:rPr>
        <w:t>投  标  函</w:t>
      </w:r>
    </w:p>
    <w:p>
      <w:pPr>
        <w:autoSpaceDE w:val="0"/>
        <w:autoSpaceDN w:val="0"/>
        <w:adjustRightInd w:val="0"/>
        <w:snapToGrid w:val="0"/>
        <w:spacing w:line="360" w:lineRule="atLeast"/>
        <w:rPr>
          <w:rFonts w:hint="eastAsia" w:ascii="宋体" w:hAnsi="宋体" w:cs="宋体"/>
          <w:color w:val="auto"/>
          <w:szCs w:val="22"/>
          <w:highlight w:val="none"/>
          <w:u w:val="single"/>
          <w:lang w:val="zh-CN"/>
        </w:rPr>
      </w:pPr>
      <w:r>
        <w:rPr>
          <w:rFonts w:hint="eastAsia" w:ascii="宋体" w:hAnsi="宋体" w:cs="宋体"/>
          <w:color w:val="auto"/>
          <w:szCs w:val="22"/>
          <w:highlight w:val="none"/>
          <w:u w:val="single"/>
          <w:lang w:val="zh-CN"/>
        </w:rPr>
        <w:t>温州长安集团有限公司：</w:t>
      </w:r>
    </w:p>
    <w:p>
      <w:pPr>
        <w:autoSpaceDE w:val="0"/>
        <w:autoSpaceDN w:val="0"/>
        <w:adjustRightInd w:val="0"/>
        <w:snapToGrid w:val="0"/>
        <w:spacing w:line="360" w:lineRule="atLeast"/>
        <w:rPr>
          <w:rFonts w:hint="eastAsia" w:ascii="宋体" w:hAnsi="宋体" w:cs="宋体"/>
          <w:color w:val="auto"/>
          <w:szCs w:val="22"/>
          <w:highlight w:val="none"/>
        </w:rPr>
      </w:pPr>
    </w:p>
    <w:p>
      <w:pPr>
        <w:autoSpaceDE w:val="0"/>
        <w:autoSpaceDN w:val="0"/>
        <w:adjustRightInd w:val="0"/>
        <w:snapToGrid w:val="0"/>
        <w:spacing w:line="360" w:lineRule="atLeast"/>
        <w:rPr>
          <w:rFonts w:hint="eastAsia" w:ascii="宋体" w:hAnsi="宋体" w:cs="宋体"/>
          <w:color w:val="auto"/>
          <w:szCs w:val="22"/>
          <w:highlight w:val="none"/>
          <w:lang w:val="zh-CN"/>
        </w:rPr>
      </w:pPr>
      <w:r>
        <w:rPr>
          <w:rFonts w:hint="eastAsia" w:ascii="宋体" w:hAnsi="宋体" w:cs="宋体"/>
          <w:color w:val="auto"/>
          <w:szCs w:val="22"/>
          <w:highlight w:val="none"/>
        </w:rPr>
        <w:t xml:space="preserve">    </w:t>
      </w:r>
      <w:r>
        <w:rPr>
          <w:rFonts w:hint="eastAsia" w:ascii="宋体" w:hAnsi="宋体" w:cs="宋体"/>
          <w:color w:val="auto"/>
          <w:szCs w:val="22"/>
          <w:highlight w:val="none"/>
          <w:lang w:val="zh-CN"/>
        </w:rPr>
        <w:t xml:space="preserve"> </w:t>
      </w:r>
      <w:r>
        <w:rPr>
          <w:rFonts w:hint="eastAsia" w:ascii="宋体" w:hAnsi="宋体" w:cs="宋体"/>
          <w:color w:val="auto"/>
          <w:szCs w:val="22"/>
          <w:highlight w:val="none"/>
          <w:u w:val="single"/>
          <w:lang w:val="zh-CN"/>
        </w:rPr>
        <w:t xml:space="preserve">                    </w:t>
      </w:r>
      <w:r>
        <w:rPr>
          <w:rFonts w:hint="eastAsia" w:ascii="宋体" w:hAnsi="宋体" w:cs="宋体"/>
          <w:color w:val="auto"/>
          <w:szCs w:val="22"/>
          <w:highlight w:val="none"/>
          <w:lang w:val="zh-CN"/>
        </w:rPr>
        <w:t>（供应商全称）授权</w:t>
      </w:r>
      <w:r>
        <w:rPr>
          <w:rFonts w:hint="eastAsia" w:ascii="宋体" w:hAnsi="宋体" w:cs="宋体"/>
          <w:color w:val="auto"/>
          <w:szCs w:val="22"/>
          <w:highlight w:val="none"/>
          <w:u w:val="single"/>
          <w:lang w:val="zh-CN"/>
        </w:rPr>
        <w:t xml:space="preserve">              </w:t>
      </w:r>
      <w:r>
        <w:rPr>
          <w:rFonts w:hint="eastAsia" w:ascii="宋体" w:hAnsi="宋体" w:cs="宋体"/>
          <w:color w:val="auto"/>
          <w:szCs w:val="22"/>
          <w:highlight w:val="none"/>
          <w:lang w:val="zh-CN"/>
        </w:rPr>
        <w:t xml:space="preserve"> （授权代表名称）</w:t>
      </w:r>
      <w:r>
        <w:rPr>
          <w:rFonts w:hint="eastAsia" w:ascii="宋体" w:hAnsi="宋体" w:cs="宋体"/>
          <w:color w:val="auto"/>
          <w:szCs w:val="22"/>
          <w:highlight w:val="none"/>
          <w:u w:val="single"/>
          <w:lang w:val="zh-CN"/>
        </w:rPr>
        <w:t xml:space="preserve">         </w:t>
      </w:r>
      <w:r>
        <w:rPr>
          <w:rFonts w:hint="eastAsia" w:ascii="宋体" w:hAnsi="宋体" w:cs="宋体"/>
          <w:color w:val="auto"/>
          <w:szCs w:val="22"/>
          <w:highlight w:val="none"/>
          <w:lang w:val="zh-CN"/>
        </w:rPr>
        <w:t>（职务、职称）为授权代表，参加贵方组织的</w:t>
      </w:r>
      <w:r>
        <w:rPr>
          <w:rFonts w:hint="eastAsia" w:ascii="宋体" w:hAnsi="宋体" w:cs="宋体"/>
          <w:color w:val="auto"/>
          <w:szCs w:val="22"/>
          <w:highlight w:val="none"/>
          <w:u w:val="single"/>
          <w:lang w:val="zh-CN"/>
        </w:rPr>
        <w:t xml:space="preserve">           </w:t>
      </w:r>
      <w:r>
        <w:rPr>
          <w:rFonts w:hint="eastAsia" w:ascii="宋体" w:hAnsi="宋体" w:cs="宋体"/>
          <w:color w:val="auto"/>
          <w:szCs w:val="22"/>
          <w:highlight w:val="none"/>
          <w:lang w:val="zh-CN"/>
        </w:rPr>
        <w:t>（招标项目名称）（括号内填投标编号）招标的有关活动，为此：并对</w:t>
      </w:r>
      <w:r>
        <w:rPr>
          <w:rFonts w:hint="eastAsia" w:ascii="宋体" w:hAnsi="宋体" w:cs="宋体"/>
          <w:color w:val="auto"/>
          <w:szCs w:val="22"/>
          <w:highlight w:val="none"/>
          <w:u w:val="single"/>
          <w:lang w:val="zh-CN"/>
        </w:rPr>
        <w:t xml:space="preserve">            </w:t>
      </w:r>
      <w:r>
        <w:rPr>
          <w:rFonts w:hint="eastAsia" w:ascii="宋体" w:hAnsi="宋体" w:cs="宋体"/>
          <w:color w:val="auto"/>
          <w:szCs w:val="22"/>
          <w:highlight w:val="none"/>
          <w:lang w:val="zh-CN"/>
        </w:rPr>
        <w:t xml:space="preserve">项目（采购项目名称）进行投标。   </w:t>
      </w:r>
    </w:p>
    <w:p>
      <w:pPr>
        <w:autoSpaceDE w:val="0"/>
        <w:autoSpaceDN w:val="0"/>
        <w:adjustRightInd w:val="0"/>
        <w:snapToGrid w:val="0"/>
        <w:spacing w:line="360" w:lineRule="atLeast"/>
        <w:ind w:left="1" w:firstLine="585" w:firstLineChars="266"/>
        <w:rPr>
          <w:rFonts w:hint="eastAsia" w:ascii="宋体" w:hAnsi="宋体" w:cs="宋体"/>
          <w:color w:val="auto"/>
          <w:szCs w:val="22"/>
          <w:highlight w:val="none"/>
          <w:lang w:val="zh-CN"/>
        </w:rPr>
      </w:pPr>
      <w:r>
        <w:rPr>
          <w:rFonts w:hint="eastAsia" w:ascii="宋体" w:hAnsi="宋体" w:cs="宋体"/>
          <w:color w:val="auto"/>
          <w:szCs w:val="22"/>
          <w:highlight w:val="none"/>
          <w:lang w:val="zh-CN"/>
        </w:rPr>
        <w:t>1、提供供应商须知规定的全部投标文件：投标文件正本一份，副本</w:t>
      </w:r>
      <w:r>
        <w:rPr>
          <w:rFonts w:hint="eastAsia" w:ascii="宋体" w:hAnsi="宋体" w:cs="宋体"/>
          <w:color w:val="auto"/>
          <w:szCs w:val="22"/>
          <w:highlight w:val="none"/>
          <w:lang w:val="en-US" w:eastAsia="zh-CN"/>
        </w:rPr>
        <w:t>六</w:t>
      </w:r>
      <w:r>
        <w:rPr>
          <w:rFonts w:hint="eastAsia" w:ascii="宋体" w:hAnsi="宋体" w:cs="宋体"/>
          <w:color w:val="auto"/>
          <w:szCs w:val="22"/>
          <w:highlight w:val="none"/>
          <w:lang w:val="zh-CN"/>
        </w:rPr>
        <w:t>份；</w:t>
      </w:r>
    </w:p>
    <w:p>
      <w:pPr>
        <w:autoSpaceDE w:val="0"/>
        <w:autoSpaceDN w:val="0"/>
        <w:adjustRightInd w:val="0"/>
        <w:snapToGrid w:val="0"/>
        <w:spacing w:line="360" w:lineRule="atLeast"/>
        <w:ind w:left="1" w:firstLine="585" w:firstLineChars="266"/>
        <w:rPr>
          <w:rFonts w:hint="eastAsia" w:ascii="宋体" w:hAnsi="宋体" w:cs="宋体"/>
          <w:color w:val="auto"/>
          <w:szCs w:val="22"/>
          <w:highlight w:val="none"/>
          <w:lang w:val="zh-CN"/>
        </w:rPr>
      </w:pPr>
      <w:r>
        <w:rPr>
          <w:rFonts w:hint="eastAsia" w:ascii="宋体" w:hAnsi="宋体" w:cs="宋体"/>
          <w:color w:val="auto"/>
          <w:szCs w:val="22"/>
          <w:highlight w:val="none"/>
          <w:lang w:val="zh-CN"/>
        </w:rPr>
        <w:t>2、保证遵守招标文件中的有关规定和收费标准。</w:t>
      </w:r>
    </w:p>
    <w:p>
      <w:pPr>
        <w:autoSpaceDE w:val="0"/>
        <w:autoSpaceDN w:val="0"/>
        <w:adjustRightInd w:val="0"/>
        <w:snapToGrid w:val="0"/>
        <w:spacing w:line="360" w:lineRule="atLeast"/>
        <w:ind w:left="1" w:firstLine="585" w:firstLineChars="266"/>
        <w:rPr>
          <w:rFonts w:hint="eastAsia" w:ascii="宋体" w:hAnsi="宋体" w:cs="宋体"/>
          <w:color w:val="auto"/>
          <w:szCs w:val="22"/>
          <w:highlight w:val="none"/>
          <w:lang w:val="zh-CN"/>
        </w:rPr>
      </w:pPr>
      <w:r>
        <w:rPr>
          <w:rFonts w:hint="eastAsia" w:ascii="宋体" w:hAnsi="宋体" w:cs="宋体"/>
          <w:color w:val="auto"/>
          <w:szCs w:val="22"/>
          <w:highlight w:val="none"/>
          <w:lang w:val="zh-CN"/>
        </w:rPr>
        <w:t>3、保证忠实地执行采购人、中标供应商双方所签的合同， 并承担合同规定的责任义务。</w:t>
      </w:r>
    </w:p>
    <w:p>
      <w:pPr>
        <w:autoSpaceDE w:val="0"/>
        <w:autoSpaceDN w:val="0"/>
        <w:adjustRightInd w:val="0"/>
        <w:snapToGrid w:val="0"/>
        <w:spacing w:line="360" w:lineRule="atLeast"/>
        <w:ind w:left="1" w:firstLine="585" w:firstLineChars="266"/>
        <w:rPr>
          <w:rFonts w:hint="eastAsia" w:ascii="宋体" w:hAnsi="宋体" w:cs="宋体"/>
          <w:color w:val="auto"/>
          <w:szCs w:val="22"/>
          <w:highlight w:val="none"/>
          <w:lang w:val="zh-CN"/>
        </w:rPr>
      </w:pPr>
      <w:r>
        <w:rPr>
          <w:rFonts w:hint="eastAsia" w:ascii="宋体" w:hAnsi="宋体" w:cs="宋体"/>
          <w:color w:val="auto"/>
          <w:szCs w:val="22"/>
          <w:highlight w:val="none"/>
          <w:lang w:val="zh-CN"/>
        </w:rPr>
        <w:t>4、我方承诺按招标文件及采购人要求完成本项目。</w:t>
      </w:r>
    </w:p>
    <w:p>
      <w:pPr>
        <w:autoSpaceDE w:val="0"/>
        <w:autoSpaceDN w:val="0"/>
        <w:adjustRightInd w:val="0"/>
        <w:spacing w:line="440" w:lineRule="atLeast"/>
        <w:ind w:left="1" w:firstLine="585" w:firstLineChars="266"/>
        <w:rPr>
          <w:rFonts w:hint="eastAsia" w:ascii="宋体" w:hAnsi="宋体" w:cs="宋体"/>
          <w:color w:val="auto"/>
          <w:szCs w:val="22"/>
          <w:highlight w:val="none"/>
          <w:lang w:val="zh-CN"/>
        </w:rPr>
      </w:pPr>
      <w:r>
        <w:rPr>
          <w:rFonts w:hint="eastAsia" w:ascii="宋体" w:hAnsi="宋体" w:cs="宋体"/>
          <w:color w:val="auto"/>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我方承诺若我公司中标本项目合同可以由平阳县公共资源交易中心或平阳县财政局给予公开。</w:t>
      </w:r>
    </w:p>
    <w:p>
      <w:pPr>
        <w:spacing w:line="340" w:lineRule="exact"/>
        <w:ind w:left="1" w:firstLine="585" w:firstLineChars="266"/>
        <w:rPr>
          <w:rFonts w:hint="eastAsia" w:ascii="宋体" w:hAnsi="宋体" w:cs="宋体"/>
          <w:color w:val="auto"/>
          <w:szCs w:val="22"/>
          <w:highlight w:val="none"/>
        </w:rPr>
      </w:pPr>
      <w:r>
        <w:rPr>
          <w:rFonts w:hint="eastAsia" w:ascii="宋体" w:hAnsi="宋体" w:cs="宋体"/>
          <w:color w:val="auto"/>
          <w:szCs w:val="22"/>
          <w:highlight w:val="none"/>
        </w:rPr>
        <w:t>6、利益冲突：我公司与本项目的采购人、招标代理机构没有任何的利害关系。</w:t>
      </w:r>
    </w:p>
    <w:p>
      <w:pPr>
        <w:autoSpaceDE w:val="0"/>
        <w:autoSpaceDN w:val="0"/>
        <w:adjustRightInd w:val="0"/>
        <w:snapToGrid w:val="0"/>
        <w:spacing w:line="360" w:lineRule="atLeast"/>
        <w:ind w:left="1" w:firstLine="585" w:firstLineChars="266"/>
        <w:rPr>
          <w:rFonts w:hint="eastAsia" w:ascii="宋体" w:hAnsi="宋体" w:cs="宋体"/>
          <w:color w:val="auto"/>
          <w:szCs w:val="22"/>
          <w:highlight w:val="none"/>
          <w:lang w:val="zh-CN"/>
        </w:rPr>
      </w:pPr>
      <w:r>
        <w:rPr>
          <w:rFonts w:hint="eastAsia" w:ascii="宋体" w:hAnsi="宋体" w:cs="宋体"/>
          <w:color w:val="auto"/>
          <w:szCs w:val="22"/>
          <w:highlight w:val="none"/>
        </w:rPr>
        <w:t>7、我公司近三年内没有行贿受贿记录，且我公司近三年来没有重大违法活动；我公司符合</w:t>
      </w:r>
      <w:r>
        <w:rPr>
          <w:rFonts w:hint="eastAsia" w:ascii="宋体" w:hAnsi="宋体" w:cs="宋体"/>
          <w:color w:val="auto"/>
          <w:kern w:val="0"/>
          <w:szCs w:val="22"/>
          <w:highlight w:val="none"/>
        </w:rPr>
        <w:t>《平阳县国有企业采购管理办法（试行）》第十二条对供应商的资格要求；</w:t>
      </w:r>
      <w:r>
        <w:rPr>
          <w:rFonts w:hint="eastAsia" w:ascii="宋体" w:hAnsi="宋体" w:cs="宋体"/>
          <w:bCs/>
          <w:color w:val="auto"/>
          <w:szCs w:val="22"/>
          <w:highlight w:val="none"/>
        </w:rPr>
        <w:t>我公司没有被政府采购管理部门限制参加投标。</w:t>
      </w:r>
    </w:p>
    <w:p>
      <w:pPr>
        <w:autoSpaceDE w:val="0"/>
        <w:autoSpaceDN w:val="0"/>
        <w:adjustRightInd w:val="0"/>
        <w:snapToGrid w:val="0"/>
        <w:spacing w:line="360" w:lineRule="atLeast"/>
        <w:ind w:left="1" w:firstLine="585" w:firstLineChars="266"/>
        <w:rPr>
          <w:rFonts w:hint="eastAsia" w:ascii="宋体" w:hAnsi="宋体" w:cs="宋体"/>
          <w:color w:val="auto"/>
          <w:szCs w:val="22"/>
          <w:highlight w:val="none"/>
          <w:lang w:val="zh-CN"/>
        </w:rPr>
      </w:pPr>
      <w:r>
        <w:rPr>
          <w:rFonts w:hint="eastAsia" w:ascii="宋体" w:hAnsi="宋体" w:cs="宋体"/>
          <w:color w:val="auto"/>
          <w:szCs w:val="22"/>
          <w:highlight w:val="none"/>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tLeast"/>
        <w:ind w:left="1" w:firstLine="585" w:firstLineChars="266"/>
        <w:rPr>
          <w:rFonts w:hint="eastAsia" w:ascii="宋体" w:hAnsi="宋体" w:cs="宋体"/>
          <w:color w:val="auto"/>
          <w:szCs w:val="22"/>
          <w:highlight w:val="none"/>
          <w:lang w:val="zh-CN"/>
        </w:rPr>
      </w:pPr>
      <w:r>
        <w:rPr>
          <w:rFonts w:hint="eastAsia" w:ascii="宋体" w:hAnsi="宋体" w:cs="宋体"/>
          <w:color w:val="auto"/>
          <w:szCs w:val="22"/>
          <w:highlight w:val="none"/>
          <w:lang w:val="zh-CN"/>
        </w:rPr>
        <w:t>9、本投标自开标之日起90天内有效。</w:t>
      </w:r>
    </w:p>
    <w:p>
      <w:pPr>
        <w:autoSpaceDE w:val="0"/>
        <w:autoSpaceDN w:val="0"/>
        <w:adjustRightInd w:val="0"/>
        <w:snapToGrid w:val="0"/>
        <w:spacing w:line="360" w:lineRule="atLeast"/>
        <w:ind w:left="1" w:firstLine="585" w:firstLineChars="266"/>
        <w:rPr>
          <w:rFonts w:hint="eastAsia" w:ascii="宋体" w:hAnsi="宋体" w:cs="宋体"/>
          <w:color w:val="auto"/>
          <w:szCs w:val="22"/>
          <w:highlight w:val="none"/>
          <w:lang w:val="zh-CN"/>
        </w:rPr>
      </w:pPr>
      <w:r>
        <w:rPr>
          <w:rFonts w:hint="eastAsia" w:ascii="宋体" w:hAnsi="宋体" w:cs="宋体"/>
          <w:color w:val="auto"/>
          <w:szCs w:val="22"/>
          <w:highlight w:val="none"/>
          <w:lang w:val="zh-CN"/>
        </w:rPr>
        <w:t>10、与本投标有关的一切往来通讯请寄：</w:t>
      </w:r>
    </w:p>
    <w:p>
      <w:pPr>
        <w:autoSpaceDE w:val="0"/>
        <w:autoSpaceDN w:val="0"/>
        <w:adjustRightInd w:val="0"/>
        <w:snapToGrid w:val="0"/>
        <w:spacing w:line="360" w:lineRule="atLeast"/>
        <w:ind w:firstLine="585" w:firstLineChars="266"/>
        <w:rPr>
          <w:rFonts w:hint="eastAsia" w:ascii="宋体" w:hAnsi="宋体" w:cs="宋体"/>
          <w:color w:val="auto"/>
          <w:szCs w:val="22"/>
          <w:highlight w:val="none"/>
          <w:lang w:val="zh-CN"/>
        </w:rPr>
      </w:pPr>
      <w:r>
        <w:rPr>
          <w:rFonts w:hint="eastAsia" w:ascii="宋体" w:hAnsi="宋体" w:cs="宋体"/>
          <w:color w:val="auto"/>
          <w:szCs w:val="22"/>
          <w:highlight w:val="none"/>
          <w:lang w:val="zh-CN"/>
        </w:rPr>
        <w:t>地址：</w:t>
      </w:r>
      <w:r>
        <w:rPr>
          <w:rFonts w:hint="eastAsia" w:ascii="宋体" w:hAnsi="宋体" w:cs="宋体"/>
          <w:color w:val="auto"/>
          <w:szCs w:val="22"/>
          <w:highlight w:val="none"/>
          <w:u w:val="single"/>
          <w:lang w:val="zh-CN"/>
        </w:rPr>
        <w:t xml:space="preserve">                                 </w:t>
      </w:r>
    </w:p>
    <w:p>
      <w:pPr>
        <w:autoSpaceDE w:val="0"/>
        <w:autoSpaceDN w:val="0"/>
        <w:adjustRightInd w:val="0"/>
        <w:snapToGrid w:val="0"/>
        <w:spacing w:line="360" w:lineRule="atLeast"/>
        <w:ind w:firstLine="585" w:firstLineChars="266"/>
        <w:rPr>
          <w:rFonts w:hint="eastAsia" w:ascii="宋体" w:hAnsi="宋体" w:cs="宋体"/>
          <w:color w:val="auto"/>
          <w:szCs w:val="22"/>
          <w:highlight w:val="none"/>
          <w:lang w:val="zh-CN"/>
        </w:rPr>
      </w:pPr>
      <w:r>
        <w:rPr>
          <w:rFonts w:hint="eastAsia" w:ascii="宋体" w:hAnsi="宋体" w:cs="宋体"/>
          <w:color w:val="auto"/>
          <w:szCs w:val="22"/>
          <w:highlight w:val="none"/>
          <w:lang w:val="zh-CN"/>
        </w:rPr>
        <w:t>邮编：</w:t>
      </w:r>
      <w:r>
        <w:rPr>
          <w:rFonts w:hint="eastAsia" w:ascii="宋体" w:hAnsi="宋体" w:cs="宋体"/>
          <w:color w:val="auto"/>
          <w:szCs w:val="22"/>
          <w:highlight w:val="none"/>
          <w:u w:val="single"/>
          <w:lang w:val="zh-CN"/>
        </w:rPr>
        <w:t xml:space="preserve">               </w:t>
      </w:r>
      <w:r>
        <w:rPr>
          <w:rFonts w:hint="eastAsia" w:ascii="宋体" w:hAnsi="宋体" w:cs="宋体"/>
          <w:color w:val="auto"/>
          <w:szCs w:val="22"/>
          <w:highlight w:val="none"/>
          <w:lang w:val="zh-CN"/>
        </w:rPr>
        <w:t>电话：</w:t>
      </w:r>
      <w:r>
        <w:rPr>
          <w:rFonts w:hint="eastAsia" w:ascii="宋体" w:hAnsi="宋体" w:cs="宋体"/>
          <w:color w:val="auto"/>
          <w:szCs w:val="22"/>
          <w:highlight w:val="none"/>
          <w:u w:val="single"/>
          <w:lang w:val="zh-CN"/>
        </w:rPr>
        <w:t xml:space="preserve">                 </w:t>
      </w:r>
      <w:r>
        <w:rPr>
          <w:rFonts w:hint="eastAsia" w:ascii="宋体" w:hAnsi="宋体" w:cs="宋体"/>
          <w:color w:val="auto"/>
          <w:szCs w:val="22"/>
          <w:highlight w:val="none"/>
          <w:lang w:val="zh-CN"/>
        </w:rPr>
        <w:t>传真：</w:t>
      </w:r>
      <w:r>
        <w:rPr>
          <w:rFonts w:hint="eastAsia" w:ascii="宋体" w:hAnsi="宋体" w:cs="宋体"/>
          <w:color w:val="auto"/>
          <w:szCs w:val="22"/>
          <w:highlight w:val="none"/>
          <w:u w:val="single"/>
          <w:lang w:val="zh-CN"/>
        </w:rPr>
        <w:t xml:space="preserve">                 </w:t>
      </w:r>
    </w:p>
    <w:p>
      <w:pPr>
        <w:autoSpaceDE w:val="0"/>
        <w:autoSpaceDN w:val="0"/>
        <w:adjustRightInd w:val="0"/>
        <w:snapToGrid w:val="0"/>
        <w:spacing w:line="360" w:lineRule="atLeast"/>
        <w:ind w:firstLine="26" w:firstLineChars="12"/>
        <w:rPr>
          <w:rFonts w:hint="eastAsia" w:ascii="宋体" w:hAnsi="宋体" w:cs="宋体"/>
          <w:color w:val="auto"/>
          <w:szCs w:val="22"/>
          <w:highlight w:val="none"/>
          <w:lang w:val="zh-CN"/>
        </w:rPr>
      </w:pPr>
    </w:p>
    <w:p>
      <w:pPr>
        <w:autoSpaceDE w:val="0"/>
        <w:autoSpaceDN w:val="0"/>
        <w:adjustRightInd w:val="0"/>
        <w:snapToGrid w:val="0"/>
        <w:spacing w:line="360" w:lineRule="atLeast"/>
        <w:ind w:firstLine="26" w:firstLineChars="12"/>
        <w:rPr>
          <w:rFonts w:hint="eastAsia" w:ascii="宋体" w:hAnsi="宋体" w:cs="宋体"/>
          <w:color w:val="auto"/>
          <w:szCs w:val="22"/>
          <w:highlight w:val="none"/>
          <w:lang w:val="zh-CN"/>
        </w:rPr>
      </w:pPr>
      <w:r>
        <w:rPr>
          <w:rFonts w:hint="eastAsia" w:ascii="宋体" w:hAnsi="宋体" w:cs="宋体"/>
          <w:color w:val="auto"/>
          <w:szCs w:val="22"/>
          <w:highlight w:val="none"/>
          <w:lang w:val="zh-CN"/>
        </w:rPr>
        <w:t>供应商全称（盖章）：</w:t>
      </w:r>
    </w:p>
    <w:p>
      <w:pPr>
        <w:pStyle w:val="21"/>
        <w:spacing w:before="120" w:after="120"/>
        <w:ind w:left="447" w:hanging="447"/>
        <w:rPr>
          <w:rFonts w:hint="eastAsia"/>
          <w:color w:val="auto"/>
          <w:highlight w:val="none"/>
          <w:lang w:val="zh-CN"/>
        </w:rPr>
      </w:pPr>
    </w:p>
    <w:p>
      <w:pPr>
        <w:autoSpaceDE w:val="0"/>
        <w:autoSpaceDN w:val="0"/>
        <w:adjustRightInd w:val="0"/>
        <w:snapToGrid w:val="0"/>
        <w:spacing w:line="360" w:lineRule="atLeast"/>
        <w:ind w:firstLine="26" w:firstLineChars="12"/>
        <w:rPr>
          <w:rFonts w:hint="eastAsia" w:ascii="宋体" w:hAnsi="宋体" w:cs="宋体"/>
          <w:color w:val="auto"/>
          <w:szCs w:val="22"/>
          <w:highlight w:val="none"/>
          <w:lang w:val="zh-CN"/>
        </w:rPr>
      </w:pPr>
      <w:r>
        <w:rPr>
          <w:rFonts w:hint="eastAsia" w:ascii="宋体" w:hAnsi="宋体" w:cs="宋体"/>
          <w:color w:val="auto"/>
          <w:szCs w:val="22"/>
          <w:highlight w:val="none"/>
          <w:lang w:val="zh-CN"/>
        </w:rPr>
        <w:t>法定代表人或授权代表</w:t>
      </w:r>
      <w:r>
        <w:rPr>
          <w:rFonts w:hint="eastAsia" w:ascii="宋体" w:hAnsi="宋体" w:cs="宋体"/>
          <w:bCs/>
          <w:color w:val="auto"/>
          <w:szCs w:val="22"/>
          <w:highlight w:val="none"/>
        </w:rPr>
        <w:t>（签字或盖章）</w:t>
      </w:r>
      <w:r>
        <w:rPr>
          <w:rFonts w:hint="eastAsia" w:ascii="宋体" w:hAnsi="宋体" w:cs="宋体"/>
          <w:color w:val="auto"/>
          <w:szCs w:val="22"/>
          <w:highlight w:val="none"/>
          <w:lang w:val="zh-CN"/>
        </w:rPr>
        <w:t>：</w:t>
      </w:r>
    </w:p>
    <w:p>
      <w:pPr>
        <w:pStyle w:val="21"/>
        <w:spacing w:before="120" w:after="120"/>
        <w:ind w:left="447" w:hanging="447"/>
        <w:rPr>
          <w:rFonts w:hint="eastAsia"/>
          <w:color w:val="auto"/>
          <w:highlight w:val="none"/>
          <w:lang w:val="zh-CN"/>
        </w:rPr>
      </w:pPr>
    </w:p>
    <w:p>
      <w:pPr>
        <w:autoSpaceDE w:val="0"/>
        <w:autoSpaceDN w:val="0"/>
        <w:adjustRightInd w:val="0"/>
        <w:snapToGrid w:val="0"/>
        <w:spacing w:line="360" w:lineRule="atLeast"/>
        <w:ind w:firstLine="26" w:firstLineChars="12"/>
        <w:rPr>
          <w:rFonts w:hint="eastAsia" w:ascii="宋体" w:hAnsi="宋体" w:cs="宋体"/>
          <w:color w:val="auto"/>
          <w:szCs w:val="22"/>
          <w:highlight w:val="none"/>
          <w:lang w:val="zh-CN"/>
        </w:rPr>
      </w:pPr>
      <w:r>
        <w:rPr>
          <w:rFonts w:hint="eastAsia" w:ascii="宋体" w:hAnsi="宋体" w:cs="宋体"/>
          <w:color w:val="auto"/>
          <w:szCs w:val="22"/>
          <w:highlight w:val="none"/>
          <w:lang w:val="zh-CN"/>
        </w:rPr>
        <w:t>日期：</w:t>
      </w:r>
    </w:p>
    <w:p>
      <w:pPr>
        <w:autoSpaceDE w:val="0"/>
        <w:autoSpaceDN w:val="0"/>
        <w:adjustRightInd w:val="0"/>
        <w:snapToGrid w:val="0"/>
        <w:spacing w:line="360" w:lineRule="atLeast"/>
        <w:ind w:firstLine="687" w:firstLineChars="285"/>
        <w:rPr>
          <w:rFonts w:hint="eastAsia" w:ascii="宋体" w:hAnsi="宋体" w:cs="宋体"/>
          <w:b/>
          <w:color w:val="auto"/>
          <w:sz w:val="24"/>
          <w:highlight w:val="none"/>
          <w:u w:val="single"/>
        </w:rPr>
      </w:pPr>
    </w:p>
    <w:p>
      <w:pPr>
        <w:autoSpaceDE w:val="0"/>
        <w:autoSpaceDN w:val="0"/>
        <w:adjustRightInd w:val="0"/>
        <w:snapToGrid w:val="0"/>
        <w:spacing w:line="360" w:lineRule="atLeast"/>
        <w:ind w:firstLine="687" w:firstLineChars="285"/>
        <w:rPr>
          <w:rFonts w:hint="eastAsia" w:ascii="宋体" w:hAnsi="宋体" w:cs="宋体"/>
          <w:b/>
          <w:color w:val="auto"/>
          <w:sz w:val="24"/>
          <w:highlight w:val="none"/>
          <w:u w:val="single"/>
        </w:rPr>
      </w:pPr>
    </w:p>
    <w:p>
      <w:pPr>
        <w:autoSpaceDE w:val="0"/>
        <w:autoSpaceDN w:val="0"/>
        <w:adjustRightInd w:val="0"/>
        <w:snapToGrid w:val="0"/>
        <w:spacing w:line="360" w:lineRule="atLeast"/>
        <w:ind w:firstLine="687" w:firstLineChars="285"/>
        <w:rPr>
          <w:rFonts w:hint="eastAsia" w:ascii="宋体" w:hAnsi="宋体" w:cs="宋体"/>
          <w:b/>
          <w:color w:val="auto"/>
          <w:sz w:val="24"/>
          <w:highlight w:val="none"/>
          <w:u w:val="single"/>
        </w:rPr>
      </w:pPr>
    </w:p>
    <w:p>
      <w:pPr>
        <w:autoSpaceDE w:val="0"/>
        <w:autoSpaceDN w:val="0"/>
        <w:adjustRightInd w:val="0"/>
        <w:snapToGrid w:val="0"/>
        <w:spacing w:line="360" w:lineRule="atLeast"/>
        <w:ind w:firstLine="687" w:firstLineChars="285"/>
        <w:rPr>
          <w:rFonts w:hint="eastAsia" w:ascii="宋体" w:hAnsi="宋体" w:cs="宋体"/>
          <w:b/>
          <w:color w:val="auto"/>
          <w:sz w:val="24"/>
          <w:highlight w:val="none"/>
          <w:u w:val="single"/>
        </w:rPr>
      </w:pPr>
    </w:p>
    <w:p>
      <w:pPr>
        <w:autoSpaceDE w:val="0"/>
        <w:autoSpaceDN w:val="0"/>
        <w:adjustRightInd w:val="0"/>
        <w:snapToGrid w:val="0"/>
        <w:spacing w:line="360" w:lineRule="atLeast"/>
        <w:ind w:firstLine="687" w:firstLineChars="285"/>
        <w:rPr>
          <w:rFonts w:hint="eastAsia" w:ascii="宋体" w:hAnsi="宋体" w:cs="宋体"/>
          <w:b/>
          <w:color w:val="auto"/>
          <w:szCs w:val="22"/>
          <w:highlight w:val="none"/>
          <w:u w:val="single"/>
          <w:lang w:val="zh-CN"/>
        </w:rPr>
      </w:pPr>
      <w:r>
        <w:rPr>
          <w:rFonts w:hint="eastAsia" w:ascii="宋体" w:hAnsi="宋体" w:cs="宋体"/>
          <w:b/>
          <w:color w:val="auto"/>
          <w:sz w:val="24"/>
          <w:highlight w:val="none"/>
          <w:u w:val="single"/>
        </w:rPr>
        <w:t>不提供本函做无效投标处理。</w:t>
      </w:r>
    </w:p>
    <w:p>
      <w:pPr>
        <w:pStyle w:val="24"/>
        <w:widowControl/>
        <w:snapToGrid w:val="0"/>
        <w:spacing w:line="360" w:lineRule="atLeast"/>
        <w:ind w:firstLine="482" w:firstLineChars="201"/>
        <w:jc w:val="left"/>
        <w:rPr>
          <w:rFonts w:hint="eastAsia" w:hAnsi="宋体" w:cs="宋体"/>
          <w:color w:val="auto"/>
          <w:sz w:val="24"/>
          <w:highlight w:val="none"/>
        </w:rPr>
        <w:sectPr>
          <w:footerReference r:id="rId3" w:type="default"/>
          <w:pgSz w:w="11907" w:h="16840"/>
          <w:pgMar w:top="1134" w:right="1021" w:bottom="1134" w:left="1021" w:header="720" w:footer="720" w:gutter="0"/>
          <w:cols w:space="720" w:num="1"/>
          <w:titlePg/>
          <w:docGrid w:linePitch="286" w:charSpace="-3831"/>
        </w:sectPr>
      </w:pPr>
    </w:p>
    <w:p>
      <w:pPr>
        <w:pStyle w:val="24"/>
        <w:adjustRightInd w:val="0"/>
        <w:snapToGrid w:val="0"/>
        <w:spacing w:line="400" w:lineRule="exact"/>
        <w:rPr>
          <w:rFonts w:hint="eastAsia" w:hAnsi="宋体" w:cs="宋体"/>
          <w:color w:val="auto"/>
          <w:sz w:val="32"/>
          <w:szCs w:val="32"/>
          <w:highlight w:val="none"/>
        </w:rPr>
      </w:pPr>
      <w:r>
        <w:rPr>
          <w:rFonts w:hint="eastAsia" w:hAnsi="宋体" w:cs="宋体"/>
          <w:color w:val="auto"/>
          <w:sz w:val="32"/>
          <w:szCs w:val="32"/>
          <w:highlight w:val="none"/>
        </w:rPr>
        <w:t xml:space="preserve">附件二（一）                   </w:t>
      </w:r>
    </w:p>
    <w:p>
      <w:pPr>
        <w:overflowPunct w:val="0"/>
        <w:spacing w:line="4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开标一览表</w:t>
      </w:r>
    </w:p>
    <w:p>
      <w:pPr>
        <w:overflowPunct w:val="0"/>
        <w:spacing w:line="380" w:lineRule="exact"/>
        <w:jc w:val="center"/>
        <w:rPr>
          <w:rFonts w:hint="eastAsia" w:ascii="宋体" w:hAnsi="宋体" w:cs="宋体"/>
          <w:b/>
          <w:bCs/>
          <w:color w:val="auto"/>
          <w:highlight w:val="none"/>
        </w:rPr>
      </w:pPr>
      <w:r>
        <w:rPr>
          <w:rFonts w:hint="eastAsia" w:ascii="宋体" w:hAnsi="宋体" w:cs="宋体"/>
          <w:b/>
          <w:bCs/>
          <w:color w:val="auto"/>
          <w:highlight w:val="none"/>
        </w:rPr>
        <w:t xml:space="preserve"> </w:t>
      </w:r>
    </w:p>
    <w:p>
      <w:pPr>
        <w:pStyle w:val="24"/>
        <w:adjustRightInd w:val="0"/>
        <w:snapToGrid w:val="0"/>
        <w:spacing w:line="400" w:lineRule="exact"/>
        <w:rPr>
          <w:rFonts w:hint="eastAsia" w:hAnsi="宋体" w:cs="宋体"/>
          <w:color w:val="auto"/>
          <w:sz w:val="36"/>
          <w:szCs w:val="36"/>
          <w:highlight w:val="none"/>
        </w:rPr>
      </w:pPr>
    </w:p>
    <w:p>
      <w:pPr>
        <w:pStyle w:val="24"/>
        <w:adjustRightInd w:val="0"/>
        <w:snapToGrid w:val="0"/>
        <w:spacing w:line="400" w:lineRule="exact"/>
        <w:rPr>
          <w:rFonts w:hint="eastAsia" w:hAnsi="宋体" w:cs="宋体"/>
          <w:color w:val="auto"/>
          <w:sz w:val="24"/>
          <w:highlight w:val="none"/>
        </w:rPr>
      </w:pPr>
      <w:r>
        <w:rPr>
          <w:rFonts w:hint="eastAsia" w:hAnsi="宋体" w:cs="宋体"/>
          <w:color w:val="auto"/>
          <w:sz w:val="24"/>
          <w:highlight w:val="none"/>
        </w:rPr>
        <w:t xml:space="preserve">供应商名称：                                         招标编号：  </w:t>
      </w:r>
    </w:p>
    <w:p>
      <w:pPr>
        <w:pStyle w:val="24"/>
        <w:adjustRightInd w:val="0"/>
        <w:snapToGrid w:val="0"/>
        <w:spacing w:line="400" w:lineRule="exact"/>
        <w:rPr>
          <w:rFonts w:hint="eastAsia" w:hAnsi="宋体" w:cs="宋体"/>
          <w:color w:val="auto"/>
          <w:sz w:val="24"/>
          <w:highlight w:val="none"/>
        </w:rPr>
      </w:pPr>
    </w:p>
    <w:tbl>
      <w:tblPr>
        <w:tblStyle w:val="42"/>
        <w:tblpPr w:leftFromText="180" w:rightFromText="180" w:vertAnchor="page" w:horzAnchor="margin" w:tblpY="3781"/>
        <w:tblW w:w="0" w:type="auto"/>
        <w:tblInd w:w="0" w:type="dxa"/>
        <w:tblLayout w:type="fixed"/>
        <w:tblCellMar>
          <w:top w:w="0" w:type="dxa"/>
          <w:left w:w="108" w:type="dxa"/>
          <w:bottom w:w="0" w:type="dxa"/>
          <w:right w:w="108" w:type="dxa"/>
        </w:tblCellMar>
      </w:tblPr>
      <w:tblGrid>
        <w:gridCol w:w="5070"/>
        <w:gridCol w:w="4792"/>
      </w:tblGrid>
      <w:tr>
        <w:tblPrEx>
          <w:tblCellMar>
            <w:top w:w="0" w:type="dxa"/>
            <w:left w:w="108" w:type="dxa"/>
            <w:bottom w:w="0" w:type="dxa"/>
            <w:right w:w="108" w:type="dxa"/>
          </w:tblCellMar>
        </w:tblPrEx>
        <w:trPr>
          <w:trHeight w:val="958" w:hRule="atLeast"/>
        </w:trPr>
        <w:tc>
          <w:tcPr>
            <w:tcW w:w="50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2"/>
                <w:highlight w:val="none"/>
              </w:rPr>
            </w:pPr>
            <w:r>
              <w:rPr>
                <w:rFonts w:hint="eastAsia" w:ascii="宋体" w:hAnsi="宋体"/>
                <w:color w:val="auto"/>
                <w:szCs w:val="22"/>
                <w:highlight w:val="none"/>
              </w:rPr>
              <w:t>项目名称</w:t>
            </w:r>
          </w:p>
        </w:tc>
        <w:tc>
          <w:tcPr>
            <w:tcW w:w="4792" w:type="dxa"/>
            <w:tcBorders>
              <w:top w:val="single" w:color="auto" w:sz="4" w:space="0"/>
              <w:left w:val="single" w:color="auto" w:sz="4" w:space="0"/>
              <w:bottom w:val="single" w:color="auto" w:sz="4" w:space="0"/>
              <w:right w:val="single" w:color="auto" w:sz="8" w:space="0"/>
            </w:tcBorders>
            <w:noWrap w:val="0"/>
            <w:vAlign w:val="center"/>
          </w:tcPr>
          <w:p>
            <w:pPr>
              <w:ind w:right="-11"/>
              <w:jc w:val="center"/>
              <w:rPr>
                <w:rFonts w:hint="eastAsia" w:ascii="宋体" w:hAnsi="宋体"/>
                <w:color w:val="auto"/>
                <w:szCs w:val="22"/>
                <w:highlight w:val="none"/>
              </w:rPr>
            </w:pPr>
            <w:r>
              <w:rPr>
                <w:rFonts w:hint="eastAsia" w:ascii="宋体" w:hAnsi="宋体"/>
                <w:color w:val="auto"/>
                <w:szCs w:val="22"/>
                <w:highlight w:val="none"/>
              </w:rPr>
              <w:t>投标报价（元）</w:t>
            </w:r>
          </w:p>
        </w:tc>
      </w:tr>
      <w:tr>
        <w:tblPrEx>
          <w:tblCellMar>
            <w:top w:w="0" w:type="dxa"/>
            <w:left w:w="108" w:type="dxa"/>
            <w:bottom w:w="0" w:type="dxa"/>
            <w:right w:w="108" w:type="dxa"/>
          </w:tblCellMar>
        </w:tblPrEx>
        <w:trPr>
          <w:trHeight w:val="1660" w:hRule="atLeast"/>
        </w:trPr>
        <w:tc>
          <w:tcPr>
            <w:tcW w:w="5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2"/>
                <w:highlight w:val="none"/>
                <w:lang w:eastAsia="zh-CN"/>
              </w:rPr>
            </w:pPr>
            <w:r>
              <w:rPr>
                <w:rFonts w:hint="eastAsia" w:ascii="宋体" w:hAnsi="宋体"/>
                <w:color w:val="auto"/>
                <w:szCs w:val="22"/>
                <w:highlight w:val="none"/>
                <w:lang w:eastAsia="zh-CN"/>
              </w:rPr>
              <w:t>2021年纯电动客车采购</w:t>
            </w:r>
          </w:p>
        </w:tc>
        <w:tc>
          <w:tcPr>
            <w:tcW w:w="479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2"/>
                <w:highlight w:val="none"/>
              </w:rPr>
            </w:pPr>
          </w:p>
          <w:p>
            <w:pPr>
              <w:rPr>
                <w:rFonts w:hint="eastAsia" w:ascii="宋体" w:hAnsi="宋体"/>
                <w:color w:val="auto"/>
                <w:szCs w:val="22"/>
                <w:highlight w:val="none"/>
              </w:rPr>
            </w:pPr>
          </w:p>
          <w:p>
            <w:pPr>
              <w:spacing w:line="480" w:lineRule="auto"/>
              <w:jc w:val="left"/>
              <w:rPr>
                <w:rFonts w:hint="eastAsia" w:ascii="宋体" w:hAnsi="宋体"/>
                <w:color w:val="auto"/>
                <w:szCs w:val="22"/>
                <w:highlight w:val="none"/>
                <w:u w:val="single"/>
              </w:rPr>
            </w:pPr>
            <w:r>
              <w:rPr>
                <w:rFonts w:hint="eastAsia" w:ascii="宋体" w:hAnsi="宋体"/>
                <w:color w:val="auto"/>
                <w:szCs w:val="22"/>
                <w:highlight w:val="none"/>
              </w:rPr>
              <w:t>大写：</w:t>
            </w:r>
            <w:r>
              <w:rPr>
                <w:rFonts w:hint="eastAsia" w:ascii="宋体" w:hAnsi="宋体"/>
                <w:color w:val="auto"/>
                <w:szCs w:val="22"/>
                <w:highlight w:val="none"/>
                <w:u w:val="single"/>
              </w:rPr>
              <w:t xml:space="preserve">                      </w:t>
            </w:r>
          </w:p>
          <w:p>
            <w:pPr>
              <w:spacing w:line="480" w:lineRule="auto"/>
              <w:jc w:val="left"/>
              <w:rPr>
                <w:rFonts w:ascii="宋体" w:hAnsi="宋体"/>
                <w:color w:val="auto"/>
                <w:szCs w:val="22"/>
                <w:highlight w:val="none"/>
                <w:u w:val="single"/>
              </w:rPr>
            </w:pPr>
            <w:r>
              <w:rPr>
                <w:rFonts w:hint="eastAsia" w:ascii="宋体" w:hAnsi="宋体"/>
                <w:color w:val="auto"/>
                <w:szCs w:val="22"/>
                <w:highlight w:val="none"/>
              </w:rPr>
              <w:t>小写：</w:t>
            </w:r>
            <w:r>
              <w:rPr>
                <w:rFonts w:hint="eastAsia" w:ascii="宋体" w:hAnsi="宋体"/>
                <w:color w:val="auto"/>
                <w:szCs w:val="22"/>
                <w:highlight w:val="none"/>
                <w:u w:val="single"/>
              </w:rPr>
              <w:t xml:space="preserve">                      </w:t>
            </w:r>
            <w:r>
              <w:rPr>
                <w:rFonts w:hint="eastAsia" w:ascii="宋体" w:hAnsi="宋体"/>
                <w:color w:val="auto"/>
                <w:szCs w:val="22"/>
                <w:highlight w:val="none"/>
              </w:rPr>
              <w:t xml:space="preserve">    </w:t>
            </w:r>
          </w:p>
        </w:tc>
      </w:tr>
    </w:tbl>
    <w:p>
      <w:pPr>
        <w:pStyle w:val="24"/>
        <w:adjustRightInd w:val="0"/>
        <w:snapToGrid w:val="0"/>
        <w:spacing w:line="460" w:lineRule="atLeast"/>
        <w:rPr>
          <w:rFonts w:hint="eastAsia" w:hAnsi="宋体"/>
          <w:color w:val="auto"/>
          <w:sz w:val="22"/>
          <w:szCs w:val="22"/>
          <w:highlight w:val="none"/>
        </w:rPr>
      </w:pPr>
      <w:r>
        <w:rPr>
          <w:rFonts w:hint="eastAsia" w:hAnsi="宋体"/>
          <w:color w:val="auto"/>
          <w:sz w:val="22"/>
          <w:szCs w:val="22"/>
          <w:highlight w:val="none"/>
        </w:rPr>
        <w:t>▲开标一览表中投标价为符合招标文件要求的项目总价（含税、运保、随机工具、随机附件等费用），同时包括设备技术服务费、材料费、税金、安装施工、调试费、人工费、验收费等（含设备调试直至能够正常使用的所有费用），招标代理费及其它需要的费用。</w:t>
      </w:r>
    </w:p>
    <w:p>
      <w:pPr>
        <w:pStyle w:val="24"/>
        <w:adjustRightInd w:val="0"/>
        <w:snapToGrid w:val="0"/>
        <w:spacing w:line="400" w:lineRule="exact"/>
        <w:rPr>
          <w:rFonts w:hint="eastAsia" w:hAnsi="宋体"/>
          <w:color w:val="auto"/>
          <w:sz w:val="22"/>
          <w:szCs w:val="22"/>
          <w:highlight w:val="none"/>
        </w:rPr>
      </w:pPr>
      <w:r>
        <w:rPr>
          <w:rFonts w:hint="eastAsia" w:hAnsi="宋体"/>
          <w:color w:val="auto"/>
          <w:sz w:val="22"/>
          <w:szCs w:val="22"/>
          <w:highlight w:val="none"/>
        </w:rPr>
        <w:t>▲不提供此表格的将视为没有实质性响应招标文件。</w:t>
      </w:r>
    </w:p>
    <w:p>
      <w:pPr>
        <w:autoSpaceDE w:val="0"/>
        <w:autoSpaceDN w:val="0"/>
        <w:adjustRightInd w:val="0"/>
        <w:spacing w:line="440" w:lineRule="atLeast"/>
        <w:rPr>
          <w:rFonts w:hint="eastAsia" w:ascii="宋体" w:hAnsi="宋体" w:cs="宋体"/>
          <w:color w:val="auto"/>
          <w:szCs w:val="22"/>
          <w:highlight w:val="none"/>
          <w:lang w:val="zh-CN"/>
        </w:rPr>
      </w:pPr>
    </w:p>
    <w:p>
      <w:pPr>
        <w:autoSpaceDE w:val="0"/>
        <w:autoSpaceDN w:val="0"/>
        <w:adjustRightInd w:val="0"/>
        <w:spacing w:line="440" w:lineRule="atLeast"/>
        <w:rPr>
          <w:rFonts w:hint="eastAsia" w:ascii="宋体" w:hAnsi="宋体" w:cs="宋体"/>
          <w:color w:val="auto"/>
          <w:szCs w:val="22"/>
          <w:highlight w:val="none"/>
          <w:lang w:val="zh-CN"/>
        </w:rPr>
      </w:pPr>
      <w:r>
        <w:rPr>
          <w:rFonts w:hint="eastAsia" w:ascii="宋体" w:hAnsi="宋体" w:cs="宋体"/>
          <w:color w:val="auto"/>
          <w:szCs w:val="22"/>
          <w:highlight w:val="none"/>
          <w:lang w:val="zh-CN"/>
        </w:rPr>
        <w:t>供应商全称（盖章）：</w:t>
      </w:r>
    </w:p>
    <w:p>
      <w:pPr>
        <w:autoSpaceDE w:val="0"/>
        <w:autoSpaceDN w:val="0"/>
        <w:adjustRightInd w:val="0"/>
        <w:spacing w:line="440" w:lineRule="atLeast"/>
        <w:rPr>
          <w:rFonts w:hint="eastAsia" w:ascii="宋体" w:hAnsi="宋体" w:cs="宋体"/>
          <w:color w:val="auto"/>
          <w:szCs w:val="22"/>
          <w:highlight w:val="none"/>
          <w:lang w:val="zh-CN"/>
        </w:rPr>
      </w:pPr>
      <w:r>
        <w:rPr>
          <w:rFonts w:hint="eastAsia" w:ascii="宋体" w:hAnsi="宋体" w:cs="宋体"/>
          <w:color w:val="auto"/>
          <w:szCs w:val="22"/>
          <w:highlight w:val="none"/>
          <w:lang w:val="zh-CN"/>
        </w:rPr>
        <w:t>法定代表人或授权代表</w:t>
      </w:r>
      <w:r>
        <w:rPr>
          <w:rFonts w:hint="eastAsia" w:ascii="宋体" w:hAnsi="宋体" w:cs="宋体"/>
          <w:bCs/>
          <w:color w:val="auto"/>
          <w:szCs w:val="22"/>
          <w:highlight w:val="none"/>
        </w:rPr>
        <w:t>（签字或盖章）</w:t>
      </w:r>
      <w:r>
        <w:rPr>
          <w:rFonts w:hint="eastAsia" w:ascii="宋体" w:hAnsi="宋体" w:cs="宋体"/>
          <w:color w:val="auto"/>
          <w:szCs w:val="22"/>
          <w:highlight w:val="none"/>
          <w:lang w:val="zh-CN"/>
        </w:rPr>
        <w:t>：</w:t>
      </w:r>
    </w:p>
    <w:p>
      <w:pPr>
        <w:autoSpaceDE w:val="0"/>
        <w:autoSpaceDN w:val="0"/>
        <w:adjustRightInd w:val="0"/>
        <w:spacing w:line="440" w:lineRule="atLeast"/>
        <w:rPr>
          <w:rFonts w:hint="eastAsia" w:ascii="宋体" w:hAnsi="宋体" w:cs="宋体"/>
          <w:color w:val="auto"/>
          <w:szCs w:val="22"/>
          <w:highlight w:val="none"/>
          <w:lang w:val="zh-CN"/>
        </w:rPr>
      </w:pPr>
      <w:r>
        <w:rPr>
          <w:rFonts w:hint="eastAsia" w:ascii="宋体" w:hAnsi="宋体" w:cs="宋体"/>
          <w:color w:val="auto"/>
          <w:szCs w:val="22"/>
          <w:highlight w:val="none"/>
          <w:lang w:val="zh-CN"/>
        </w:rPr>
        <w:t>日期：</w:t>
      </w:r>
    </w:p>
    <w:p>
      <w:pPr>
        <w:pStyle w:val="24"/>
        <w:adjustRightInd w:val="0"/>
        <w:snapToGrid w:val="0"/>
        <w:spacing w:line="400" w:lineRule="exact"/>
        <w:jc w:val="left"/>
        <w:rPr>
          <w:rFonts w:hint="eastAsia" w:hAnsi="宋体" w:cs="宋体"/>
          <w:color w:val="auto"/>
          <w:sz w:val="24"/>
          <w:szCs w:val="24"/>
          <w:highlight w:val="none"/>
        </w:rPr>
      </w:pPr>
    </w:p>
    <w:p>
      <w:pPr>
        <w:pStyle w:val="24"/>
        <w:adjustRightInd w:val="0"/>
        <w:snapToGrid w:val="0"/>
        <w:spacing w:line="400" w:lineRule="exact"/>
        <w:jc w:val="left"/>
        <w:rPr>
          <w:rFonts w:hint="eastAsia" w:hAnsi="宋体" w:cs="宋体"/>
          <w:color w:val="auto"/>
          <w:szCs w:val="22"/>
          <w:highlight w:val="none"/>
        </w:rPr>
      </w:pPr>
    </w:p>
    <w:p>
      <w:pPr>
        <w:pStyle w:val="24"/>
        <w:adjustRightInd w:val="0"/>
        <w:snapToGrid w:val="0"/>
        <w:spacing w:line="400" w:lineRule="exact"/>
        <w:rPr>
          <w:rFonts w:hint="eastAsia" w:hAnsi="宋体" w:cs="宋体"/>
          <w:color w:val="auto"/>
          <w:sz w:val="24"/>
          <w:highlight w:val="none"/>
        </w:rPr>
      </w:pPr>
    </w:p>
    <w:p>
      <w:pPr>
        <w:pStyle w:val="24"/>
        <w:adjustRightInd w:val="0"/>
        <w:snapToGrid w:val="0"/>
        <w:spacing w:line="400" w:lineRule="exact"/>
        <w:rPr>
          <w:rFonts w:hint="eastAsia" w:hAnsi="宋体" w:cs="宋体"/>
          <w:color w:val="auto"/>
          <w:sz w:val="24"/>
          <w:highlight w:val="none"/>
        </w:rPr>
      </w:pPr>
    </w:p>
    <w:p>
      <w:pPr>
        <w:pStyle w:val="24"/>
        <w:adjustRightInd w:val="0"/>
        <w:snapToGrid w:val="0"/>
        <w:spacing w:line="400" w:lineRule="exact"/>
        <w:jc w:val="center"/>
        <w:rPr>
          <w:rFonts w:hint="eastAsia" w:hAnsi="宋体" w:cs="宋体"/>
          <w:color w:val="auto"/>
          <w:sz w:val="36"/>
          <w:szCs w:val="36"/>
          <w:highlight w:val="none"/>
        </w:rPr>
        <w:sectPr>
          <w:pgSz w:w="11907" w:h="16840"/>
          <w:pgMar w:top="1134" w:right="1021" w:bottom="1134" w:left="1021" w:header="720" w:footer="720" w:gutter="0"/>
          <w:cols w:space="720" w:num="1"/>
          <w:docGrid w:linePitch="312" w:charSpace="0"/>
        </w:sectPr>
      </w:pPr>
    </w:p>
    <w:p>
      <w:pPr>
        <w:pStyle w:val="4"/>
        <w:pageBreakBefore/>
        <w:spacing w:line="415" w:lineRule="auto"/>
        <w:rPr>
          <w:rFonts w:hint="eastAsia" w:ascii="宋体" w:hAnsi="宋体" w:eastAsia="宋体" w:cs="宋体"/>
          <w:color w:val="auto"/>
          <w:highlight w:val="none"/>
        </w:rPr>
      </w:pPr>
      <w:r>
        <w:rPr>
          <w:rFonts w:hint="eastAsia" w:ascii="宋体" w:hAnsi="宋体" w:eastAsia="宋体" w:cs="宋体"/>
          <w:color w:val="auto"/>
          <w:highlight w:val="none"/>
        </w:rPr>
        <w:t>附件二（二）投标产品数量、价格表</w:t>
      </w:r>
    </w:p>
    <w:p>
      <w:pPr>
        <w:pStyle w:val="24"/>
        <w:adjustRightInd w:val="0"/>
        <w:snapToGrid w:val="0"/>
        <w:spacing w:line="460" w:lineRule="atLeast"/>
        <w:ind w:firstLine="160" w:firstLineChars="50"/>
        <w:jc w:val="center"/>
        <w:rPr>
          <w:rFonts w:hint="eastAsia" w:hAnsi="宋体" w:cs="宋体"/>
          <w:color w:val="auto"/>
          <w:sz w:val="32"/>
          <w:highlight w:val="none"/>
        </w:rPr>
      </w:pPr>
      <w:r>
        <w:rPr>
          <w:rFonts w:hint="eastAsia" w:hAnsi="宋体" w:cs="宋体"/>
          <w:color w:val="auto"/>
          <w:sz w:val="32"/>
          <w:highlight w:val="none"/>
        </w:rPr>
        <w:t>投标产品数量、价格表</w:t>
      </w:r>
    </w:p>
    <w:p>
      <w:pPr>
        <w:pStyle w:val="176"/>
        <w:spacing w:before="100" w:beforeAutospacing="1" w:after="100" w:afterAutospacing="1" w:line="240" w:lineRule="auto"/>
        <w:ind w:firstLine="440"/>
        <w:jc w:val="right"/>
        <w:rPr>
          <w:rFonts w:hint="eastAsia" w:hAnsi="宋体" w:eastAsia="宋体" w:cs="宋体"/>
          <w:color w:val="auto"/>
          <w:sz w:val="22"/>
          <w:highlight w:val="none"/>
        </w:rPr>
      </w:pPr>
      <w:r>
        <w:rPr>
          <w:rFonts w:hint="eastAsia" w:hAnsi="宋体" w:eastAsia="宋体" w:cs="宋体"/>
          <w:color w:val="auto"/>
          <w:sz w:val="22"/>
          <w:highlight w:val="none"/>
        </w:rPr>
        <w:t>（价格单位：元人民币）</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3"/>
        <w:gridCol w:w="900"/>
        <w:gridCol w:w="1307"/>
        <w:gridCol w:w="1286"/>
        <w:gridCol w:w="1853"/>
        <w:gridCol w:w="1563"/>
        <w:gridCol w:w="7"/>
        <w:gridCol w:w="190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973" w:type="dxa"/>
            <w:vMerge w:val="restart"/>
            <w:noWrap w:val="0"/>
            <w:vAlign w:val="center"/>
          </w:tcPr>
          <w:p>
            <w:pPr>
              <w:jc w:val="left"/>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lang w:eastAsia="zh-CN"/>
              </w:rPr>
              <w:t>2021年纯电动客车采购</w:t>
            </w:r>
          </w:p>
        </w:tc>
        <w:tc>
          <w:tcPr>
            <w:tcW w:w="900" w:type="dxa"/>
            <w:noWrap w:val="0"/>
            <w:vAlign w:val="center"/>
          </w:tcPr>
          <w:p>
            <w:pPr>
              <w:jc w:val="center"/>
              <w:rPr>
                <w:rFonts w:hint="eastAsia" w:ascii="宋体" w:hAnsi="宋体" w:cs="宋体"/>
                <w:bCs/>
                <w:color w:val="auto"/>
                <w:szCs w:val="22"/>
                <w:highlight w:val="none"/>
              </w:rPr>
            </w:pPr>
            <w:r>
              <w:rPr>
                <w:rFonts w:hint="eastAsia" w:ascii="宋体" w:hAnsi="宋体" w:cs="宋体"/>
                <w:bCs/>
                <w:color w:val="auto"/>
                <w:szCs w:val="22"/>
                <w:highlight w:val="none"/>
              </w:rPr>
              <w:t>序号</w:t>
            </w:r>
          </w:p>
        </w:tc>
        <w:tc>
          <w:tcPr>
            <w:tcW w:w="1307" w:type="dxa"/>
            <w:noWrap w:val="0"/>
            <w:vAlign w:val="center"/>
          </w:tcPr>
          <w:p>
            <w:pPr>
              <w:jc w:val="center"/>
              <w:rPr>
                <w:rFonts w:hint="eastAsia" w:ascii="宋体" w:hAnsi="宋体" w:cs="宋体"/>
                <w:bCs/>
                <w:color w:val="auto"/>
                <w:szCs w:val="22"/>
                <w:highlight w:val="none"/>
              </w:rPr>
            </w:pPr>
            <w:r>
              <w:rPr>
                <w:rFonts w:hint="eastAsia" w:ascii="宋体" w:hAnsi="宋体" w:cs="宋体"/>
                <w:bCs/>
                <w:color w:val="auto"/>
                <w:szCs w:val="22"/>
                <w:highlight w:val="none"/>
              </w:rPr>
              <w:t>名称</w:t>
            </w:r>
          </w:p>
        </w:tc>
        <w:tc>
          <w:tcPr>
            <w:tcW w:w="1286" w:type="dxa"/>
            <w:noWrap w:val="0"/>
            <w:vAlign w:val="center"/>
          </w:tcPr>
          <w:p>
            <w:pPr>
              <w:jc w:val="center"/>
              <w:rPr>
                <w:rFonts w:hint="eastAsia" w:ascii="宋体" w:hAnsi="宋体" w:cs="宋体"/>
                <w:bCs/>
                <w:color w:val="auto"/>
                <w:szCs w:val="22"/>
                <w:highlight w:val="none"/>
              </w:rPr>
            </w:pPr>
            <w:r>
              <w:rPr>
                <w:rFonts w:hint="eastAsia" w:ascii="宋体" w:hAnsi="宋体" w:cs="宋体"/>
                <w:bCs/>
                <w:color w:val="auto"/>
                <w:szCs w:val="22"/>
                <w:highlight w:val="none"/>
              </w:rPr>
              <w:t>品牌型号</w:t>
            </w:r>
          </w:p>
        </w:tc>
        <w:tc>
          <w:tcPr>
            <w:tcW w:w="1853" w:type="dxa"/>
            <w:noWrap w:val="0"/>
            <w:vAlign w:val="center"/>
          </w:tcPr>
          <w:p>
            <w:pPr>
              <w:jc w:val="center"/>
              <w:rPr>
                <w:rFonts w:hint="eastAsia" w:ascii="宋体" w:hAnsi="宋体" w:cs="宋体"/>
                <w:bCs/>
                <w:color w:val="auto"/>
                <w:szCs w:val="22"/>
                <w:highlight w:val="none"/>
              </w:rPr>
            </w:pPr>
            <w:r>
              <w:rPr>
                <w:rFonts w:hint="eastAsia" w:ascii="宋体" w:hAnsi="宋体" w:cs="宋体"/>
                <w:bCs/>
                <w:color w:val="auto"/>
                <w:szCs w:val="22"/>
                <w:highlight w:val="none"/>
              </w:rPr>
              <w:t>数量</w:t>
            </w:r>
          </w:p>
        </w:tc>
        <w:tc>
          <w:tcPr>
            <w:tcW w:w="1563" w:type="dxa"/>
            <w:noWrap w:val="0"/>
            <w:vAlign w:val="center"/>
          </w:tcPr>
          <w:p>
            <w:pPr>
              <w:jc w:val="center"/>
              <w:rPr>
                <w:rFonts w:hint="eastAsia" w:ascii="宋体" w:hAnsi="宋体" w:cs="宋体"/>
                <w:bCs/>
                <w:color w:val="auto"/>
                <w:szCs w:val="22"/>
                <w:highlight w:val="none"/>
              </w:rPr>
            </w:pPr>
            <w:r>
              <w:rPr>
                <w:rFonts w:hint="eastAsia" w:ascii="宋体" w:hAnsi="宋体" w:cs="宋体"/>
                <w:bCs/>
                <w:color w:val="auto"/>
                <w:szCs w:val="22"/>
                <w:highlight w:val="none"/>
              </w:rPr>
              <w:t>单价</w:t>
            </w:r>
          </w:p>
        </w:tc>
        <w:tc>
          <w:tcPr>
            <w:tcW w:w="1909" w:type="dxa"/>
            <w:gridSpan w:val="2"/>
            <w:noWrap w:val="0"/>
            <w:vAlign w:val="center"/>
          </w:tcPr>
          <w:p>
            <w:pPr>
              <w:jc w:val="center"/>
              <w:rPr>
                <w:rFonts w:hint="eastAsia" w:ascii="宋体" w:hAnsi="宋体" w:cs="宋体"/>
                <w:bCs/>
                <w:color w:val="auto"/>
                <w:szCs w:val="22"/>
                <w:highlight w:val="none"/>
              </w:rPr>
            </w:pPr>
            <w:r>
              <w:rPr>
                <w:rFonts w:hint="eastAsia" w:ascii="宋体" w:hAnsi="宋体" w:cs="宋体"/>
                <w:bCs/>
                <w:color w:val="auto"/>
                <w:szCs w:val="22"/>
                <w:highlight w:val="none"/>
              </w:rPr>
              <w:t>合价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jc w:val="center"/>
        </w:trPr>
        <w:tc>
          <w:tcPr>
            <w:tcW w:w="973" w:type="dxa"/>
            <w:vMerge w:val="continue"/>
            <w:noWrap w:val="0"/>
            <w:vAlign w:val="top"/>
          </w:tcPr>
          <w:p>
            <w:pPr>
              <w:jc w:val="center"/>
              <w:rPr>
                <w:rFonts w:hint="eastAsia" w:ascii="宋体" w:hAnsi="宋体" w:cs="宋体"/>
                <w:bCs/>
                <w:color w:val="auto"/>
                <w:szCs w:val="22"/>
                <w:highlight w:val="none"/>
              </w:rPr>
            </w:pPr>
          </w:p>
        </w:tc>
        <w:tc>
          <w:tcPr>
            <w:tcW w:w="900" w:type="dxa"/>
            <w:noWrap w:val="0"/>
            <w:vAlign w:val="center"/>
          </w:tcPr>
          <w:p>
            <w:pPr>
              <w:ind w:right="519" w:rightChars="236"/>
              <w:jc w:val="center"/>
              <w:rPr>
                <w:rFonts w:hint="eastAsia" w:ascii="宋体" w:hAnsi="宋体" w:cs="宋体"/>
                <w:bCs/>
                <w:color w:val="auto"/>
                <w:szCs w:val="22"/>
                <w:highlight w:val="none"/>
              </w:rPr>
            </w:pPr>
          </w:p>
        </w:tc>
        <w:tc>
          <w:tcPr>
            <w:tcW w:w="1307" w:type="dxa"/>
            <w:noWrap w:val="0"/>
            <w:vAlign w:val="center"/>
          </w:tcPr>
          <w:p>
            <w:pPr>
              <w:ind w:right="519" w:rightChars="236"/>
              <w:jc w:val="center"/>
              <w:rPr>
                <w:rFonts w:hint="eastAsia" w:ascii="宋体" w:hAnsi="宋体" w:cs="宋体"/>
                <w:bCs/>
                <w:color w:val="auto"/>
                <w:szCs w:val="22"/>
                <w:highlight w:val="none"/>
              </w:rPr>
            </w:pPr>
          </w:p>
        </w:tc>
        <w:tc>
          <w:tcPr>
            <w:tcW w:w="1286" w:type="dxa"/>
            <w:noWrap w:val="0"/>
            <w:vAlign w:val="center"/>
          </w:tcPr>
          <w:p>
            <w:pPr>
              <w:jc w:val="center"/>
              <w:rPr>
                <w:rFonts w:hint="eastAsia" w:ascii="宋体" w:hAnsi="宋体" w:cs="宋体"/>
                <w:bCs/>
                <w:color w:val="auto"/>
                <w:szCs w:val="22"/>
                <w:highlight w:val="none"/>
              </w:rPr>
            </w:pPr>
          </w:p>
        </w:tc>
        <w:tc>
          <w:tcPr>
            <w:tcW w:w="1853" w:type="dxa"/>
            <w:noWrap w:val="0"/>
            <w:vAlign w:val="center"/>
          </w:tcPr>
          <w:p>
            <w:pPr>
              <w:snapToGrid w:val="0"/>
              <w:spacing w:line="400" w:lineRule="atLeast"/>
              <w:jc w:val="center"/>
              <w:rPr>
                <w:rFonts w:hint="eastAsia" w:ascii="宋体" w:hAnsi="宋体" w:cs="宋体"/>
                <w:bCs/>
                <w:color w:val="auto"/>
                <w:szCs w:val="22"/>
                <w:highlight w:val="none"/>
              </w:rPr>
            </w:pPr>
          </w:p>
        </w:tc>
        <w:tc>
          <w:tcPr>
            <w:tcW w:w="1563" w:type="dxa"/>
            <w:noWrap w:val="0"/>
            <w:vAlign w:val="center"/>
          </w:tcPr>
          <w:p>
            <w:pPr>
              <w:jc w:val="center"/>
              <w:rPr>
                <w:rFonts w:hint="eastAsia" w:ascii="宋体" w:hAnsi="宋体" w:cs="宋体"/>
                <w:bCs/>
                <w:color w:val="auto"/>
                <w:szCs w:val="22"/>
                <w:highlight w:val="none"/>
              </w:rPr>
            </w:pPr>
          </w:p>
        </w:tc>
        <w:tc>
          <w:tcPr>
            <w:tcW w:w="1909" w:type="dxa"/>
            <w:gridSpan w:val="2"/>
            <w:noWrap w:val="0"/>
            <w:vAlign w:val="center"/>
          </w:tcPr>
          <w:p>
            <w:pPr>
              <w:jc w:val="center"/>
              <w:rPr>
                <w:rFonts w:hint="eastAsia" w:ascii="宋体" w:hAnsi="宋体" w:cs="宋体"/>
                <w:bCs/>
                <w:color w:val="auto"/>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jc w:val="center"/>
        </w:trPr>
        <w:tc>
          <w:tcPr>
            <w:tcW w:w="973" w:type="dxa"/>
            <w:vMerge w:val="continue"/>
            <w:noWrap w:val="0"/>
            <w:vAlign w:val="top"/>
          </w:tcPr>
          <w:p>
            <w:pPr>
              <w:jc w:val="center"/>
              <w:rPr>
                <w:rFonts w:hint="eastAsia" w:ascii="宋体" w:hAnsi="宋体" w:cs="宋体"/>
                <w:bCs/>
                <w:color w:val="auto"/>
                <w:szCs w:val="22"/>
                <w:highlight w:val="none"/>
              </w:rPr>
            </w:pPr>
          </w:p>
        </w:tc>
        <w:tc>
          <w:tcPr>
            <w:tcW w:w="900" w:type="dxa"/>
            <w:noWrap w:val="0"/>
            <w:vAlign w:val="center"/>
          </w:tcPr>
          <w:p>
            <w:pPr>
              <w:jc w:val="center"/>
              <w:rPr>
                <w:rFonts w:hint="eastAsia" w:ascii="宋体" w:hAnsi="宋体" w:cs="宋体"/>
                <w:bCs/>
                <w:color w:val="auto"/>
                <w:szCs w:val="22"/>
                <w:highlight w:val="none"/>
              </w:rPr>
            </w:pPr>
          </w:p>
        </w:tc>
        <w:tc>
          <w:tcPr>
            <w:tcW w:w="1307" w:type="dxa"/>
            <w:noWrap w:val="0"/>
            <w:vAlign w:val="center"/>
          </w:tcPr>
          <w:p>
            <w:pPr>
              <w:jc w:val="center"/>
              <w:rPr>
                <w:rFonts w:hint="eastAsia" w:ascii="宋体" w:hAnsi="宋体" w:cs="宋体"/>
                <w:bCs/>
                <w:color w:val="auto"/>
                <w:szCs w:val="22"/>
                <w:highlight w:val="none"/>
              </w:rPr>
            </w:pPr>
          </w:p>
        </w:tc>
        <w:tc>
          <w:tcPr>
            <w:tcW w:w="1286" w:type="dxa"/>
            <w:noWrap w:val="0"/>
            <w:vAlign w:val="center"/>
          </w:tcPr>
          <w:p>
            <w:pPr>
              <w:jc w:val="center"/>
              <w:rPr>
                <w:rFonts w:hint="eastAsia" w:ascii="宋体" w:hAnsi="宋体" w:cs="宋体"/>
                <w:bCs/>
                <w:color w:val="auto"/>
                <w:szCs w:val="22"/>
                <w:highlight w:val="none"/>
              </w:rPr>
            </w:pPr>
          </w:p>
        </w:tc>
        <w:tc>
          <w:tcPr>
            <w:tcW w:w="1853" w:type="dxa"/>
            <w:noWrap w:val="0"/>
            <w:vAlign w:val="center"/>
          </w:tcPr>
          <w:p>
            <w:pPr>
              <w:snapToGrid w:val="0"/>
              <w:spacing w:line="400" w:lineRule="atLeast"/>
              <w:jc w:val="center"/>
              <w:rPr>
                <w:rFonts w:hint="eastAsia" w:ascii="宋体" w:hAnsi="宋体" w:cs="宋体"/>
                <w:bCs/>
                <w:color w:val="auto"/>
                <w:szCs w:val="22"/>
                <w:highlight w:val="none"/>
              </w:rPr>
            </w:pPr>
          </w:p>
        </w:tc>
        <w:tc>
          <w:tcPr>
            <w:tcW w:w="1563" w:type="dxa"/>
            <w:noWrap w:val="0"/>
            <w:vAlign w:val="center"/>
          </w:tcPr>
          <w:p>
            <w:pPr>
              <w:jc w:val="center"/>
              <w:rPr>
                <w:rFonts w:hint="eastAsia" w:ascii="宋体" w:hAnsi="宋体" w:cs="宋体"/>
                <w:bCs/>
                <w:color w:val="auto"/>
                <w:szCs w:val="22"/>
                <w:highlight w:val="none"/>
              </w:rPr>
            </w:pPr>
          </w:p>
        </w:tc>
        <w:tc>
          <w:tcPr>
            <w:tcW w:w="1909" w:type="dxa"/>
            <w:gridSpan w:val="2"/>
            <w:noWrap w:val="0"/>
            <w:vAlign w:val="center"/>
          </w:tcPr>
          <w:p>
            <w:pPr>
              <w:jc w:val="center"/>
              <w:rPr>
                <w:rFonts w:hint="eastAsia" w:ascii="宋体" w:hAnsi="宋体" w:cs="宋体"/>
                <w:bCs/>
                <w:color w:val="auto"/>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jc w:val="center"/>
        </w:trPr>
        <w:tc>
          <w:tcPr>
            <w:tcW w:w="973" w:type="dxa"/>
            <w:vMerge w:val="continue"/>
            <w:noWrap w:val="0"/>
            <w:vAlign w:val="top"/>
          </w:tcPr>
          <w:p>
            <w:pPr>
              <w:jc w:val="center"/>
              <w:rPr>
                <w:rFonts w:hint="eastAsia" w:ascii="宋体" w:hAnsi="宋体" w:cs="宋体"/>
                <w:bCs/>
                <w:color w:val="auto"/>
                <w:szCs w:val="22"/>
                <w:highlight w:val="none"/>
              </w:rPr>
            </w:pPr>
          </w:p>
        </w:tc>
        <w:tc>
          <w:tcPr>
            <w:tcW w:w="900" w:type="dxa"/>
            <w:noWrap w:val="0"/>
            <w:vAlign w:val="center"/>
          </w:tcPr>
          <w:p>
            <w:pPr>
              <w:jc w:val="center"/>
              <w:rPr>
                <w:rFonts w:hint="eastAsia" w:ascii="宋体" w:hAnsi="宋体" w:cs="宋体"/>
                <w:bCs/>
                <w:color w:val="auto"/>
                <w:szCs w:val="22"/>
                <w:highlight w:val="none"/>
              </w:rPr>
            </w:pPr>
          </w:p>
        </w:tc>
        <w:tc>
          <w:tcPr>
            <w:tcW w:w="1307" w:type="dxa"/>
            <w:noWrap w:val="0"/>
            <w:vAlign w:val="center"/>
          </w:tcPr>
          <w:p>
            <w:pPr>
              <w:jc w:val="center"/>
              <w:rPr>
                <w:rFonts w:hint="eastAsia" w:ascii="宋体" w:hAnsi="宋体" w:cs="宋体"/>
                <w:bCs/>
                <w:color w:val="auto"/>
                <w:szCs w:val="22"/>
                <w:highlight w:val="none"/>
              </w:rPr>
            </w:pPr>
          </w:p>
        </w:tc>
        <w:tc>
          <w:tcPr>
            <w:tcW w:w="1286" w:type="dxa"/>
            <w:noWrap w:val="0"/>
            <w:vAlign w:val="center"/>
          </w:tcPr>
          <w:p>
            <w:pPr>
              <w:jc w:val="center"/>
              <w:rPr>
                <w:rFonts w:hint="eastAsia" w:ascii="宋体" w:hAnsi="宋体" w:cs="宋体"/>
                <w:bCs/>
                <w:color w:val="auto"/>
                <w:szCs w:val="22"/>
                <w:highlight w:val="none"/>
              </w:rPr>
            </w:pPr>
          </w:p>
        </w:tc>
        <w:tc>
          <w:tcPr>
            <w:tcW w:w="1853" w:type="dxa"/>
            <w:noWrap w:val="0"/>
            <w:vAlign w:val="center"/>
          </w:tcPr>
          <w:p>
            <w:pPr>
              <w:snapToGrid w:val="0"/>
              <w:spacing w:line="400" w:lineRule="atLeast"/>
              <w:jc w:val="center"/>
              <w:rPr>
                <w:rFonts w:hint="eastAsia" w:ascii="宋体" w:hAnsi="宋体" w:cs="宋体"/>
                <w:bCs/>
                <w:color w:val="auto"/>
                <w:szCs w:val="22"/>
                <w:highlight w:val="none"/>
              </w:rPr>
            </w:pPr>
          </w:p>
        </w:tc>
        <w:tc>
          <w:tcPr>
            <w:tcW w:w="1563" w:type="dxa"/>
            <w:tcBorders>
              <w:right w:val="single" w:color="auto" w:sz="4" w:space="0"/>
            </w:tcBorders>
            <w:noWrap w:val="0"/>
            <w:vAlign w:val="center"/>
          </w:tcPr>
          <w:p>
            <w:pPr>
              <w:jc w:val="center"/>
              <w:rPr>
                <w:rFonts w:hint="eastAsia" w:ascii="宋体" w:hAnsi="宋体" w:cs="宋体"/>
                <w:bCs/>
                <w:color w:val="auto"/>
                <w:szCs w:val="22"/>
                <w:highlight w:val="none"/>
              </w:rPr>
            </w:pPr>
          </w:p>
        </w:tc>
        <w:tc>
          <w:tcPr>
            <w:tcW w:w="1909" w:type="dxa"/>
            <w:gridSpan w:val="2"/>
            <w:tcBorders>
              <w:left w:val="single" w:color="auto" w:sz="4" w:space="0"/>
            </w:tcBorders>
            <w:noWrap w:val="0"/>
            <w:vAlign w:val="center"/>
          </w:tcPr>
          <w:p>
            <w:pPr>
              <w:jc w:val="center"/>
              <w:rPr>
                <w:rFonts w:hint="eastAsia" w:ascii="宋体" w:hAnsi="宋体" w:cs="宋体"/>
                <w:bCs/>
                <w:color w:val="auto"/>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jc w:val="center"/>
        </w:trPr>
        <w:tc>
          <w:tcPr>
            <w:tcW w:w="973" w:type="dxa"/>
            <w:vMerge w:val="continue"/>
            <w:noWrap w:val="0"/>
            <w:vAlign w:val="top"/>
          </w:tcPr>
          <w:p>
            <w:pPr>
              <w:jc w:val="center"/>
              <w:rPr>
                <w:rFonts w:hint="eastAsia" w:ascii="宋体" w:hAnsi="宋体" w:cs="宋体"/>
                <w:bCs/>
                <w:color w:val="auto"/>
                <w:szCs w:val="22"/>
                <w:highlight w:val="none"/>
              </w:rPr>
            </w:pPr>
          </w:p>
        </w:tc>
        <w:tc>
          <w:tcPr>
            <w:tcW w:w="900" w:type="dxa"/>
            <w:noWrap w:val="0"/>
            <w:vAlign w:val="center"/>
          </w:tcPr>
          <w:p>
            <w:pPr>
              <w:jc w:val="center"/>
              <w:rPr>
                <w:rFonts w:hint="eastAsia" w:ascii="宋体" w:hAnsi="宋体" w:cs="宋体"/>
                <w:bCs/>
                <w:color w:val="auto"/>
                <w:szCs w:val="22"/>
                <w:highlight w:val="none"/>
              </w:rPr>
            </w:pPr>
          </w:p>
        </w:tc>
        <w:tc>
          <w:tcPr>
            <w:tcW w:w="1307" w:type="dxa"/>
            <w:noWrap w:val="0"/>
            <w:vAlign w:val="center"/>
          </w:tcPr>
          <w:p>
            <w:pPr>
              <w:jc w:val="center"/>
              <w:rPr>
                <w:rFonts w:hint="eastAsia" w:ascii="宋体" w:hAnsi="宋体" w:cs="宋体"/>
                <w:bCs/>
                <w:color w:val="auto"/>
                <w:szCs w:val="22"/>
                <w:highlight w:val="none"/>
              </w:rPr>
            </w:pPr>
          </w:p>
        </w:tc>
        <w:tc>
          <w:tcPr>
            <w:tcW w:w="1286" w:type="dxa"/>
            <w:noWrap w:val="0"/>
            <w:vAlign w:val="center"/>
          </w:tcPr>
          <w:p>
            <w:pPr>
              <w:jc w:val="center"/>
              <w:rPr>
                <w:rFonts w:hint="eastAsia" w:ascii="宋体" w:hAnsi="宋体" w:cs="宋体"/>
                <w:bCs/>
                <w:color w:val="auto"/>
                <w:szCs w:val="22"/>
                <w:highlight w:val="none"/>
              </w:rPr>
            </w:pPr>
          </w:p>
        </w:tc>
        <w:tc>
          <w:tcPr>
            <w:tcW w:w="1853" w:type="dxa"/>
            <w:noWrap w:val="0"/>
            <w:vAlign w:val="center"/>
          </w:tcPr>
          <w:p>
            <w:pPr>
              <w:snapToGrid w:val="0"/>
              <w:spacing w:line="400" w:lineRule="atLeast"/>
              <w:jc w:val="center"/>
              <w:rPr>
                <w:rFonts w:hint="eastAsia" w:ascii="宋体" w:hAnsi="宋体" w:cs="宋体"/>
                <w:bCs/>
                <w:color w:val="auto"/>
                <w:szCs w:val="22"/>
                <w:highlight w:val="none"/>
              </w:rPr>
            </w:pPr>
          </w:p>
        </w:tc>
        <w:tc>
          <w:tcPr>
            <w:tcW w:w="1570" w:type="dxa"/>
            <w:gridSpan w:val="2"/>
            <w:tcBorders>
              <w:right w:val="single" w:color="auto" w:sz="4" w:space="0"/>
            </w:tcBorders>
            <w:noWrap w:val="0"/>
            <w:vAlign w:val="center"/>
          </w:tcPr>
          <w:p>
            <w:pPr>
              <w:jc w:val="center"/>
              <w:rPr>
                <w:rFonts w:hint="eastAsia" w:ascii="宋体" w:hAnsi="宋体" w:cs="宋体"/>
                <w:bCs/>
                <w:color w:val="auto"/>
                <w:szCs w:val="22"/>
                <w:highlight w:val="none"/>
              </w:rPr>
            </w:pPr>
          </w:p>
        </w:tc>
        <w:tc>
          <w:tcPr>
            <w:tcW w:w="1902" w:type="dxa"/>
            <w:tcBorders>
              <w:left w:val="single" w:color="auto" w:sz="4" w:space="0"/>
            </w:tcBorders>
            <w:noWrap w:val="0"/>
            <w:vAlign w:val="center"/>
          </w:tcPr>
          <w:p>
            <w:pPr>
              <w:jc w:val="center"/>
              <w:rPr>
                <w:rFonts w:hint="eastAsia" w:ascii="宋体" w:hAnsi="宋体" w:cs="宋体"/>
                <w:bCs/>
                <w:color w:val="auto"/>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466" w:type="dxa"/>
            <w:gridSpan w:val="4"/>
            <w:noWrap w:val="0"/>
            <w:vAlign w:val="top"/>
          </w:tcPr>
          <w:p>
            <w:pPr>
              <w:jc w:val="center"/>
              <w:rPr>
                <w:rFonts w:hint="eastAsia" w:ascii="宋体" w:hAnsi="宋体" w:cs="宋体"/>
                <w:bCs/>
                <w:color w:val="auto"/>
                <w:szCs w:val="22"/>
                <w:highlight w:val="none"/>
              </w:rPr>
            </w:pPr>
            <w:r>
              <w:rPr>
                <w:rFonts w:hint="eastAsia" w:ascii="宋体" w:hAnsi="宋体" w:cs="宋体"/>
                <w:bCs/>
                <w:color w:val="auto"/>
                <w:szCs w:val="22"/>
                <w:highlight w:val="none"/>
              </w:rPr>
              <w:t>合计报价</w:t>
            </w:r>
          </w:p>
        </w:tc>
        <w:tc>
          <w:tcPr>
            <w:tcW w:w="5325" w:type="dxa"/>
            <w:gridSpan w:val="4"/>
            <w:noWrap w:val="0"/>
            <w:vAlign w:val="center"/>
          </w:tcPr>
          <w:p>
            <w:pPr>
              <w:jc w:val="center"/>
              <w:rPr>
                <w:rFonts w:hint="eastAsia" w:ascii="宋体" w:hAnsi="宋体" w:cs="宋体"/>
                <w:bCs/>
                <w:color w:val="auto"/>
                <w:szCs w:val="22"/>
                <w:highlight w:val="none"/>
              </w:rPr>
            </w:pPr>
          </w:p>
        </w:tc>
      </w:tr>
    </w:tbl>
    <w:p>
      <w:pPr>
        <w:pStyle w:val="24"/>
        <w:spacing w:line="460" w:lineRule="atLeast"/>
        <w:rPr>
          <w:rFonts w:hint="eastAsia" w:hAnsi="宋体" w:cs="宋体"/>
          <w:bCs/>
          <w:color w:val="auto"/>
          <w:szCs w:val="22"/>
          <w:highlight w:val="none"/>
        </w:rPr>
      </w:pPr>
      <w:r>
        <w:rPr>
          <w:rFonts w:hint="eastAsia" w:hAnsi="宋体" w:cs="宋体"/>
          <w:bCs/>
          <w:color w:val="auto"/>
          <w:szCs w:val="22"/>
          <w:highlight w:val="none"/>
        </w:rPr>
        <w:t xml:space="preserve">  说明：报价中须包含货物费、特殊工具费及随机易损件费、售后服务及技术培训费、运杂费装卸费、运输保险费、招标代理费及其它需要的费用。</w:t>
      </w:r>
    </w:p>
    <w:p>
      <w:pPr>
        <w:snapToGrid w:val="0"/>
        <w:spacing w:line="500" w:lineRule="atLeast"/>
        <w:rPr>
          <w:rFonts w:hint="eastAsia" w:ascii="宋体" w:hAnsi="宋体" w:cs="宋体"/>
          <w:color w:val="auto"/>
          <w:szCs w:val="22"/>
          <w:highlight w:val="none"/>
        </w:rPr>
      </w:pPr>
      <w:r>
        <w:rPr>
          <w:rFonts w:hint="eastAsia" w:ascii="宋体" w:hAnsi="宋体" w:cs="宋体"/>
          <w:color w:val="auto"/>
          <w:szCs w:val="22"/>
          <w:highlight w:val="none"/>
        </w:rPr>
        <w:t>注：表格可延续，供应商可根据实际情况增减相关内容</w:t>
      </w:r>
    </w:p>
    <w:p>
      <w:pPr>
        <w:snapToGrid w:val="0"/>
        <w:spacing w:line="500" w:lineRule="atLeast"/>
        <w:rPr>
          <w:rFonts w:hint="eastAsia" w:ascii="宋体" w:hAnsi="宋体" w:cs="宋体"/>
          <w:color w:val="auto"/>
          <w:szCs w:val="22"/>
          <w:highlight w:val="none"/>
        </w:rPr>
      </w:pPr>
      <w:r>
        <w:rPr>
          <w:rFonts w:hint="eastAsia" w:ascii="宋体" w:hAnsi="宋体" w:cs="宋体"/>
          <w:color w:val="auto"/>
          <w:szCs w:val="22"/>
          <w:highlight w:val="none"/>
        </w:rPr>
        <w:t>供应商（盖章）：</w:t>
      </w:r>
    </w:p>
    <w:p>
      <w:pPr>
        <w:snapToGrid w:val="0"/>
        <w:spacing w:line="500" w:lineRule="atLeast"/>
        <w:rPr>
          <w:rFonts w:hint="eastAsia" w:ascii="宋体" w:hAnsi="宋体" w:cs="宋体"/>
          <w:color w:val="auto"/>
          <w:szCs w:val="22"/>
          <w:highlight w:val="none"/>
        </w:rPr>
      </w:pPr>
      <w:r>
        <w:rPr>
          <w:rFonts w:hint="eastAsia" w:ascii="宋体" w:hAnsi="宋体" w:cs="宋体"/>
          <w:color w:val="auto"/>
          <w:szCs w:val="22"/>
          <w:highlight w:val="none"/>
          <w:lang w:val="zh-CN"/>
        </w:rPr>
        <w:t>法定代表人或授权代表</w:t>
      </w:r>
      <w:r>
        <w:rPr>
          <w:rFonts w:hint="eastAsia" w:ascii="宋体" w:hAnsi="宋体" w:cs="宋体"/>
          <w:bCs/>
          <w:color w:val="auto"/>
          <w:szCs w:val="22"/>
          <w:highlight w:val="none"/>
        </w:rPr>
        <w:t>（签字或盖章）</w:t>
      </w:r>
      <w:r>
        <w:rPr>
          <w:rFonts w:hint="eastAsia" w:ascii="宋体" w:hAnsi="宋体" w:cs="宋体"/>
          <w:color w:val="auto"/>
          <w:szCs w:val="22"/>
          <w:highlight w:val="none"/>
        </w:rPr>
        <w:t xml:space="preserve">：                        </w:t>
      </w:r>
    </w:p>
    <w:p>
      <w:pPr>
        <w:snapToGrid w:val="0"/>
        <w:spacing w:line="500" w:lineRule="atLeast"/>
        <w:rPr>
          <w:rFonts w:hint="eastAsia" w:ascii="宋体" w:hAnsi="宋体" w:cs="宋体"/>
          <w:color w:val="auto"/>
          <w:szCs w:val="22"/>
          <w:highlight w:val="none"/>
        </w:rPr>
      </w:pPr>
      <w:r>
        <w:rPr>
          <w:rFonts w:hint="eastAsia" w:ascii="宋体" w:hAnsi="宋体" w:cs="宋体"/>
          <w:color w:val="auto"/>
          <w:szCs w:val="22"/>
          <w:highlight w:val="none"/>
        </w:rPr>
        <w:t>日期：</w:t>
      </w:r>
    </w:p>
    <w:p>
      <w:pPr>
        <w:snapToGrid w:val="0"/>
        <w:spacing w:line="500" w:lineRule="atLeast"/>
        <w:ind w:firstLine="550" w:firstLineChars="250"/>
        <w:rPr>
          <w:rFonts w:hint="eastAsia" w:ascii="宋体" w:hAnsi="宋体" w:cs="宋体"/>
          <w:color w:val="auto"/>
          <w:szCs w:val="22"/>
          <w:highlight w:val="none"/>
        </w:rPr>
      </w:pPr>
    </w:p>
    <w:p>
      <w:pPr>
        <w:snapToGrid w:val="0"/>
        <w:spacing w:line="500" w:lineRule="atLeast"/>
        <w:ind w:firstLine="550" w:firstLineChars="250"/>
        <w:rPr>
          <w:rFonts w:hint="eastAsia" w:ascii="宋体" w:hAnsi="宋体" w:cs="宋体"/>
          <w:color w:val="auto"/>
          <w:szCs w:val="22"/>
          <w:highlight w:val="none"/>
        </w:rPr>
      </w:pPr>
    </w:p>
    <w:p>
      <w:pPr>
        <w:snapToGrid w:val="0"/>
        <w:spacing w:line="500" w:lineRule="atLeast"/>
        <w:ind w:firstLine="550" w:firstLineChars="250"/>
        <w:rPr>
          <w:rFonts w:hint="eastAsia" w:ascii="宋体" w:hAnsi="宋体" w:cs="宋体"/>
          <w:color w:val="auto"/>
          <w:szCs w:val="22"/>
          <w:highlight w:val="none"/>
        </w:rPr>
      </w:pPr>
    </w:p>
    <w:p>
      <w:pPr>
        <w:snapToGrid w:val="0"/>
        <w:spacing w:line="500" w:lineRule="atLeast"/>
        <w:ind w:firstLine="550" w:firstLineChars="250"/>
        <w:rPr>
          <w:rFonts w:hint="eastAsia" w:ascii="宋体" w:hAnsi="宋体" w:cs="宋体"/>
          <w:color w:val="auto"/>
          <w:szCs w:val="22"/>
          <w:highlight w:val="none"/>
        </w:rPr>
      </w:pPr>
    </w:p>
    <w:p>
      <w:pPr>
        <w:snapToGrid w:val="0"/>
        <w:spacing w:line="500" w:lineRule="atLeast"/>
        <w:ind w:firstLine="550" w:firstLineChars="250"/>
        <w:rPr>
          <w:rFonts w:hint="eastAsia" w:ascii="宋体" w:hAnsi="宋体" w:cs="宋体"/>
          <w:color w:val="auto"/>
          <w:szCs w:val="22"/>
          <w:highlight w:val="none"/>
        </w:rPr>
      </w:pPr>
    </w:p>
    <w:p>
      <w:pPr>
        <w:snapToGrid w:val="0"/>
        <w:spacing w:line="500" w:lineRule="atLeast"/>
        <w:ind w:firstLine="550" w:firstLineChars="250"/>
        <w:rPr>
          <w:rFonts w:hint="eastAsia" w:ascii="宋体" w:hAnsi="宋体" w:cs="宋体"/>
          <w:color w:val="auto"/>
          <w:szCs w:val="22"/>
          <w:highlight w:val="none"/>
        </w:rPr>
      </w:pPr>
    </w:p>
    <w:p>
      <w:pPr>
        <w:snapToGrid w:val="0"/>
        <w:spacing w:line="500" w:lineRule="atLeast"/>
        <w:ind w:firstLine="550" w:firstLineChars="250"/>
        <w:rPr>
          <w:rFonts w:hint="eastAsia" w:ascii="宋体" w:hAnsi="宋体" w:cs="宋体"/>
          <w:color w:val="auto"/>
          <w:szCs w:val="22"/>
          <w:highlight w:val="none"/>
        </w:rPr>
      </w:pPr>
    </w:p>
    <w:p>
      <w:pPr>
        <w:snapToGrid w:val="0"/>
        <w:spacing w:line="500" w:lineRule="atLeast"/>
        <w:ind w:firstLine="550" w:firstLineChars="250"/>
        <w:rPr>
          <w:rFonts w:hint="eastAsia" w:ascii="宋体" w:hAnsi="宋体" w:cs="宋体"/>
          <w:color w:val="auto"/>
          <w:szCs w:val="22"/>
          <w:highlight w:val="none"/>
        </w:rPr>
      </w:pPr>
    </w:p>
    <w:p>
      <w:pPr>
        <w:snapToGrid w:val="0"/>
        <w:spacing w:line="500" w:lineRule="atLeast"/>
        <w:ind w:firstLine="550" w:firstLineChars="250"/>
        <w:rPr>
          <w:rFonts w:hint="eastAsia" w:ascii="宋体" w:hAnsi="宋体" w:cs="宋体"/>
          <w:color w:val="auto"/>
          <w:szCs w:val="22"/>
          <w:highlight w:val="none"/>
        </w:rPr>
      </w:pPr>
    </w:p>
    <w:p>
      <w:pPr>
        <w:pStyle w:val="3"/>
        <w:rPr>
          <w:rFonts w:hint="eastAsia" w:ascii="宋体" w:hAnsi="宋体" w:cs="宋体"/>
          <w:color w:val="auto"/>
          <w:szCs w:val="22"/>
          <w:highlight w:val="none"/>
        </w:rPr>
      </w:pPr>
    </w:p>
    <w:p>
      <w:pPr>
        <w:rPr>
          <w:rFonts w:hint="eastAsia" w:ascii="宋体" w:hAnsi="宋体" w:cs="宋体"/>
          <w:color w:val="auto"/>
          <w:szCs w:val="22"/>
          <w:highlight w:val="none"/>
        </w:rPr>
      </w:pPr>
    </w:p>
    <w:p>
      <w:pPr>
        <w:pStyle w:val="3"/>
        <w:rPr>
          <w:rFonts w:hint="eastAsia"/>
          <w:color w:val="auto"/>
          <w:highlight w:val="none"/>
        </w:rPr>
      </w:pPr>
    </w:p>
    <w:p>
      <w:pPr>
        <w:pStyle w:val="21"/>
        <w:spacing w:before="120" w:after="120"/>
        <w:ind w:left="447" w:hanging="447"/>
        <w:rPr>
          <w:rFonts w:hint="eastAsia"/>
          <w:color w:val="auto"/>
          <w:highlight w:val="none"/>
        </w:rPr>
      </w:pPr>
    </w:p>
    <w:p>
      <w:pPr>
        <w:pStyle w:val="4"/>
        <w:pageBreakBefore/>
        <w:spacing w:line="415" w:lineRule="auto"/>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附件二（三）投标产品的</w:t>
      </w:r>
      <w:r>
        <w:rPr>
          <w:rFonts w:hint="eastAsia" w:ascii="宋体" w:hAnsi="宋体" w:eastAsia="宋体" w:cs="宋体"/>
          <w:b/>
          <w:bCs/>
          <w:color w:val="auto"/>
          <w:highlight w:val="none"/>
          <w:lang w:eastAsia="zh-CN"/>
        </w:rPr>
        <w:t>主要零部件信息表</w:t>
      </w:r>
    </w:p>
    <w:p>
      <w:pPr>
        <w:jc w:val="center"/>
        <w:rPr>
          <w:rFonts w:hint="eastAsia" w:ascii="宋体" w:hAnsi="宋体" w:cs="宋体"/>
          <w:color w:val="auto"/>
          <w:spacing w:val="20"/>
          <w:sz w:val="24"/>
          <w:highlight w:val="none"/>
        </w:rPr>
      </w:pPr>
      <w:r>
        <w:rPr>
          <w:rFonts w:hint="eastAsia" w:ascii="宋体" w:hAnsi="宋体" w:cs="宋体"/>
          <w:b/>
          <w:color w:val="auto"/>
          <w:spacing w:val="20"/>
          <w:sz w:val="36"/>
          <w:highlight w:val="none"/>
        </w:rPr>
        <w:t xml:space="preserve"> </w:t>
      </w:r>
    </w:p>
    <w:p>
      <w:pPr>
        <w:rPr>
          <w:rFonts w:hint="eastAsia" w:ascii="宋体" w:hAnsi="宋体" w:cs="宋体"/>
          <w:b/>
          <w:color w:val="auto"/>
          <w:spacing w:val="20"/>
          <w:sz w:val="24"/>
          <w:highlight w:val="none"/>
        </w:rPr>
      </w:pPr>
      <w:r>
        <w:rPr>
          <w:rFonts w:hint="eastAsia" w:ascii="宋体" w:hAnsi="宋体" w:cs="宋体"/>
          <w:b/>
          <w:color w:val="auto"/>
          <w:spacing w:val="20"/>
          <w:sz w:val="24"/>
          <w:highlight w:val="none"/>
        </w:rPr>
        <w:t>供应商名称：</w:t>
      </w:r>
      <w:r>
        <w:rPr>
          <w:rFonts w:hint="eastAsia" w:ascii="宋体" w:hAnsi="宋体" w:cs="宋体"/>
          <w:b/>
          <w:color w:val="auto"/>
          <w:spacing w:val="20"/>
          <w:sz w:val="24"/>
          <w:highlight w:val="none"/>
          <w:u w:val="single"/>
        </w:rPr>
        <w:t xml:space="preserve">          </w:t>
      </w:r>
      <w:r>
        <w:rPr>
          <w:rFonts w:hint="eastAsia" w:ascii="宋体" w:hAnsi="宋体" w:cs="宋体"/>
          <w:b/>
          <w:color w:val="auto"/>
          <w:spacing w:val="20"/>
          <w:sz w:val="24"/>
          <w:highlight w:val="none"/>
        </w:rPr>
        <w:t xml:space="preserve">  招标编号：</w:t>
      </w:r>
      <w:r>
        <w:rPr>
          <w:rFonts w:hint="eastAsia" w:ascii="宋体" w:hAnsi="宋体" w:cs="宋体"/>
          <w:b/>
          <w:color w:val="auto"/>
          <w:spacing w:val="20"/>
          <w:sz w:val="24"/>
          <w:highlight w:val="none"/>
          <w:u w:val="single"/>
        </w:rPr>
        <w:t xml:space="preserve">        </w:t>
      </w:r>
      <w:r>
        <w:rPr>
          <w:rFonts w:hint="eastAsia" w:ascii="宋体" w:hAnsi="宋体" w:cs="宋体"/>
          <w:b/>
          <w:color w:val="auto"/>
          <w:spacing w:val="20"/>
          <w:sz w:val="24"/>
          <w:highlight w:val="none"/>
        </w:rPr>
        <w:t xml:space="preserve">   项目名称：</w:t>
      </w:r>
      <w:r>
        <w:rPr>
          <w:rFonts w:hint="eastAsia" w:ascii="宋体" w:hAnsi="宋体" w:cs="宋体"/>
          <w:b/>
          <w:color w:val="auto"/>
          <w:spacing w:val="20"/>
          <w:sz w:val="24"/>
          <w:highlight w:val="none"/>
          <w:u w:val="single"/>
        </w:rPr>
        <w:t xml:space="preserve">         </w:t>
      </w:r>
    </w:p>
    <w:tbl>
      <w:tblPr>
        <w:tblStyle w:val="42"/>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686"/>
        <w:gridCol w:w="1803"/>
        <w:gridCol w:w="1979"/>
        <w:gridCol w:w="1281"/>
        <w:gridCol w:w="1276"/>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7" w:type="dxa"/>
            <w:shd w:val="clear" w:color="auto" w:fill="FFFFFF"/>
            <w:noWrap/>
            <w:vAlign w:val="center"/>
          </w:tcPr>
          <w:p>
            <w:pPr>
              <w:spacing w:line="380" w:lineRule="exact"/>
              <w:jc w:val="center"/>
              <w:rPr>
                <w:rFonts w:ascii="宋体" w:eastAsia="宋体"/>
                <w:b w:val="0"/>
                <w:bCs/>
                <w:color w:val="auto"/>
                <w:sz w:val="22"/>
                <w:szCs w:val="22"/>
                <w:highlight w:val="none"/>
              </w:rPr>
            </w:pPr>
            <w:r>
              <w:rPr>
                <w:rFonts w:ascii="宋体" w:eastAsia="宋体"/>
                <w:b w:val="0"/>
                <w:bCs/>
                <w:color w:val="auto"/>
                <w:sz w:val="22"/>
                <w:szCs w:val="22"/>
                <w:highlight w:val="none"/>
              </w:rPr>
              <w:t>序号</w:t>
            </w:r>
          </w:p>
        </w:tc>
        <w:tc>
          <w:tcPr>
            <w:tcW w:w="3489" w:type="dxa"/>
            <w:gridSpan w:val="2"/>
            <w:shd w:val="clear" w:color="auto" w:fill="FFFFFF"/>
            <w:noWrap/>
            <w:vAlign w:val="center"/>
          </w:tcPr>
          <w:p>
            <w:pPr>
              <w:spacing w:line="380" w:lineRule="exact"/>
              <w:jc w:val="center"/>
              <w:rPr>
                <w:rFonts w:ascii="宋体" w:eastAsia="宋体"/>
                <w:b w:val="0"/>
                <w:bCs/>
                <w:color w:val="auto"/>
                <w:sz w:val="22"/>
                <w:szCs w:val="22"/>
                <w:highlight w:val="none"/>
              </w:rPr>
            </w:pPr>
            <w:r>
              <w:rPr>
                <w:rFonts w:ascii="宋体" w:eastAsia="宋体"/>
                <w:b w:val="0"/>
                <w:bCs/>
                <w:color w:val="auto"/>
                <w:sz w:val="22"/>
                <w:szCs w:val="22"/>
                <w:highlight w:val="none"/>
              </w:rPr>
              <w:t>名  称</w:t>
            </w:r>
          </w:p>
        </w:tc>
        <w:tc>
          <w:tcPr>
            <w:tcW w:w="1979" w:type="dxa"/>
            <w:shd w:val="clear" w:color="auto" w:fill="FFFFFF"/>
            <w:noWrap/>
            <w:vAlign w:val="center"/>
          </w:tcPr>
          <w:p>
            <w:pPr>
              <w:spacing w:line="380" w:lineRule="exact"/>
              <w:jc w:val="center"/>
              <w:rPr>
                <w:rFonts w:ascii="宋体" w:eastAsia="宋体"/>
                <w:b w:val="0"/>
                <w:bCs/>
                <w:color w:val="auto"/>
                <w:sz w:val="22"/>
                <w:szCs w:val="22"/>
                <w:highlight w:val="none"/>
              </w:rPr>
            </w:pPr>
            <w:r>
              <w:rPr>
                <w:rFonts w:ascii="宋体" w:eastAsia="宋体"/>
                <w:b w:val="0"/>
                <w:bCs/>
                <w:color w:val="auto"/>
                <w:sz w:val="22"/>
                <w:szCs w:val="22"/>
                <w:highlight w:val="none"/>
              </w:rPr>
              <w:t>型号、规格</w:t>
            </w:r>
            <w:r>
              <w:rPr>
                <w:rFonts w:hint="eastAsia" w:ascii="宋体" w:eastAsia="宋体"/>
                <w:b w:val="0"/>
                <w:bCs/>
                <w:color w:val="auto"/>
                <w:sz w:val="22"/>
                <w:szCs w:val="22"/>
                <w:highlight w:val="none"/>
              </w:rPr>
              <w:t>（如有）</w:t>
            </w:r>
          </w:p>
        </w:tc>
        <w:tc>
          <w:tcPr>
            <w:tcW w:w="1281" w:type="dxa"/>
            <w:shd w:val="clear" w:color="auto" w:fill="FFFFFF"/>
            <w:noWrap/>
            <w:vAlign w:val="center"/>
          </w:tcPr>
          <w:p>
            <w:pPr>
              <w:spacing w:line="380" w:lineRule="exact"/>
              <w:jc w:val="center"/>
              <w:rPr>
                <w:rFonts w:ascii="宋体" w:eastAsia="宋体"/>
                <w:b w:val="0"/>
                <w:bCs/>
                <w:color w:val="auto"/>
                <w:sz w:val="22"/>
                <w:szCs w:val="22"/>
                <w:highlight w:val="none"/>
              </w:rPr>
            </w:pPr>
            <w:r>
              <w:rPr>
                <w:rFonts w:ascii="宋体" w:eastAsia="宋体"/>
                <w:b w:val="0"/>
                <w:bCs/>
                <w:color w:val="auto"/>
                <w:sz w:val="22"/>
                <w:szCs w:val="22"/>
                <w:highlight w:val="none"/>
              </w:rPr>
              <w:t>原产地</w:t>
            </w:r>
          </w:p>
        </w:tc>
        <w:tc>
          <w:tcPr>
            <w:tcW w:w="1276" w:type="dxa"/>
            <w:shd w:val="clear" w:color="auto" w:fill="FFFFFF"/>
            <w:noWrap/>
            <w:vAlign w:val="center"/>
          </w:tcPr>
          <w:p>
            <w:pPr>
              <w:spacing w:line="380" w:lineRule="exact"/>
              <w:jc w:val="center"/>
              <w:rPr>
                <w:rFonts w:ascii="宋体" w:eastAsia="宋体"/>
                <w:b w:val="0"/>
                <w:bCs/>
                <w:color w:val="auto"/>
                <w:sz w:val="22"/>
                <w:szCs w:val="22"/>
                <w:highlight w:val="none"/>
              </w:rPr>
            </w:pPr>
            <w:r>
              <w:rPr>
                <w:rFonts w:ascii="宋体" w:eastAsia="宋体"/>
                <w:b w:val="0"/>
                <w:bCs/>
                <w:color w:val="auto"/>
                <w:sz w:val="22"/>
                <w:szCs w:val="22"/>
                <w:highlight w:val="none"/>
              </w:rPr>
              <w:t>制造商</w:t>
            </w:r>
          </w:p>
        </w:tc>
        <w:tc>
          <w:tcPr>
            <w:tcW w:w="1033" w:type="dxa"/>
            <w:shd w:val="clear" w:color="auto" w:fill="FFFFFF"/>
            <w:noWrap/>
            <w:vAlign w:val="center"/>
          </w:tcPr>
          <w:p>
            <w:pPr>
              <w:spacing w:line="380" w:lineRule="exact"/>
              <w:jc w:val="center"/>
              <w:rPr>
                <w:rFonts w:ascii="宋体" w:eastAsia="宋体"/>
                <w:b w:val="0"/>
                <w:bCs/>
                <w:color w:val="auto"/>
                <w:sz w:val="22"/>
                <w:szCs w:val="22"/>
                <w:highlight w:val="none"/>
              </w:rPr>
            </w:pPr>
            <w:r>
              <w:rPr>
                <w:rFonts w:ascii="宋体" w:eastAsia="宋体"/>
                <w:b w:val="0"/>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1</w:t>
            </w:r>
          </w:p>
        </w:tc>
        <w:tc>
          <w:tcPr>
            <w:tcW w:w="1686"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动力系统</w:t>
            </w:r>
          </w:p>
        </w:tc>
        <w:tc>
          <w:tcPr>
            <w:tcW w:w="1803"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锂电池</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restart"/>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2</w:t>
            </w:r>
          </w:p>
        </w:tc>
        <w:tc>
          <w:tcPr>
            <w:tcW w:w="1686" w:type="dxa"/>
            <w:vMerge w:val="restart"/>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底盘</w:t>
            </w:r>
          </w:p>
        </w:tc>
        <w:tc>
          <w:tcPr>
            <w:tcW w:w="1803"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前后桥</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continue"/>
            <w:noWrap/>
            <w:vAlign w:val="center"/>
          </w:tcPr>
          <w:p>
            <w:pPr>
              <w:spacing w:line="380" w:lineRule="exact"/>
              <w:jc w:val="center"/>
              <w:rPr>
                <w:rFonts w:ascii="宋体" w:eastAsia="宋体"/>
                <w:b w:val="0"/>
                <w:bCs/>
                <w:color w:val="auto"/>
                <w:sz w:val="22"/>
                <w:szCs w:val="22"/>
                <w:highlight w:val="none"/>
              </w:rPr>
            </w:pPr>
          </w:p>
        </w:tc>
        <w:tc>
          <w:tcPr>
            <w:tcW w:w="1686" w:type="dxa"/>
            <w:vMerge w:val="continue"/>
            <w:noWrap/>
            <w:vAlign w:val="center"/>
          </w:tcPr>
          <w:p>
            <w:pPr>
              <w:spacing w:line="380" w:lineRule="exact"/>
              <w:jc w:val="center"/>
              <w:rPr>
                <w:rFonts w:ascii="宋体" w:eastAsia="宋体"/>
                <w:b w:val="0"/>
                <w:bCs/>
                <w:color w:val="auto"/>
                <w:sz w:val="22"/>
                <w:szCs w:val="22"/>
                <w:highlight w:val="none"/>
              </w:rPr>
            </w:pPr>
          </w:p>
        </w:tc>
        <w:tc>
          <w:tcPr>
            <w:tcW w:w="1803" w:type="dxa"/>
            <w:noWrap/>
            <w:vAlign w:val="center"/>
          </w:tcPr>
          <w:p>
            <w:pPr>
              <w:spacing w:line="380" w:lineRule="exact"/>
              <w:jc w:val="center"/>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免维护轮毂</w:t>
            </w:r>
          </w:p>
        </w:tc>
        <w:tc>
          <w:tcPr>
            <w:tcW w:w="1979" w:type="dxa"/>
            <w:noWrap/>
            <w:vAlign w:val="center"/>
          </w:tcPr>
          <w:p>
            <w:pPr>
              <w:spacing w:line="380" w:lineRule="exact"/>
              <w:jc w:val="center"/>
              <w:rPr>
                <w:rFonts w:hint="eastAsia" w:ascii="宋体" w:eastAsia="宋体"/>
                <w:b w:val="0"/>
                <w:bCs/>
                <w:color w:val="auto"/>
                <w:sz w:val="22"/>
                <w:szCs w:val="22"/>
                <w:highlight w:val="none"/>
                <w:lang w:eastAsia="zh-CN"/>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continue"/>
            <w:noWrap/>
            <w:vAlign w:val="center"/>
          </w:tcPr>
          <w:p>
            <w:pPr>
              <w:spacing w:line="380" w:lineRule="exact"/>
              <w:jc w:val="center"/>
              <w:rPr>
                <w:rFonts w:ascii="宋体" w:eastAsia="宋体"/>
                <w:b w:val="0"/>
                <w:bCs/>
                <w:color w:val="auto"/>
                <w:sz w:val="22"/>
                <w:szCs w:val="22"/>
                <w:highlight w:val="none"/>
              </w:rPr>
            </w:pPr>
          </w:p>
        </w:tc>
        <w:tc>
          <w:tcPr>
            <w:tcW w:w="1686" w:type="dxa"/>
            <w:vMerge w:val="continue"/>
            <w:noWrap/>
            <w:vAlign w:val="center"/>
          </w:tcPr>
          <w:p>
            <w:pPr>
              <w:spacing w:line="380" w:lineRule="exact"/>
              <w:jc w:val="center"/>
              <w:rPr>
                <w:rFonts w:ascii="宋体" w:eastAsia="宋体"/>
                <w:b w:val="0"/>
                <w:bCs/>
                <w:color w:val="auto"/>
                <w:sz w:val="22"/>
                <w:szCs w:val="22"/>
                <w:highlight w:val="none"/>
              </w:rPr>
            </w:pPr>
          </w:p>
        </w:tc>
        <w:tc>
          <w:tcPr>
            <w:tcW w:w="1803"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制动器</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continue"/>
            <w:noWrap/>
            <w:vAlign w:val="center"/>
          </w:tcPr>
          <w:p>
            <w:pPr>
              <w:spacing w:line="380" w:lineRule="exact"/>
              <w:jc w:val="center"/>
              <w:rPr>
                <w:rFonts w:ascii="宋体" w:eastAsia="宋体"/>
                <w:b w:val="0"/>
                <w:bCs/>
                <w:color w:val="auto"/>
                <w:sz w:val="22"/>
                <w:szCs w:val="22"/>
                <w:highlight w:val="none"/>
              </w:rPr>
            </w:pPr>
          </w:p>
        </w:tc>
        <w:tc>
          <w:tcPr>
            <w:tcW w:w="1686" w:type="dxa"/>
            <w:vMerge w:val="continue"/>
            <w:noWrap/>
            <w:vAlign w:val="center"/>
          </w:tcPr>
          <w:p>
            <w:pPr>
              <w:spacing w:line="380" w:lineRule="exact"/>
              <w:jc w:val="center"/>
              <w:rPr>
                <w:rFonts w:ascii="宋体" w:eastAsia="宋体"/>
                <w:b w:val="0"/>
                <w:bCs/>
                <w:color w:val="auto"/>
                <w:sz w:val="22"/>
                <w:szCs w:val="22"/>
                <w:highlight w:val="none"/>
              </w:rPr>
            </w:pPr>
          </w:p>
        </w:tc>
        <w:tc>
          <w:tcPr>
            <w:tcW w:w="1803"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集中润滑系统</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continue"/>
            <w:noWrap/>
            <w:vAlign w:val="center"/>
          </w:tcPr>
          <w:p>
            <w:pPr>
              <w:spacing w:line="380" w:lineRule="exact"/>
              <w:jc w:val="center"/>
              <w:rPr>
                <w:rFonts w:ascii="宋体" w:eastAsia="宋体"/>
                <w:b w:val="0"/>
                <w:bCs/>
                <w:color w:val="auto"/>
                <w:sz w:val="22"/>
                <w:szCs w:val="22"/>
                <w:highlight w:val="none"/>
              </w:rPr>
            </w:pPr>
          </w:p>
        </w:tc>
        <w:tc>
          <w:tcPr>
            <w:tcW w:w="1686" w:type="dxa"/>
            <w:vMerge w:val="continue"/>
            <w:noWrap/>
            <w:vAlign w:val="center"/>
          </w:tcPr>
          <w:p>
            <w:pPr>
              <w:spacing w:line="380" w:lineRule="exact"/>
              <w:jc w:val="center"/>
              <w:rPr>
                <w:rFonts w:ascii="宋体" w:eastAsia="宋体"/>
                <w:b w:val="0"/>
                <w:bCs/>
                <w:color w:val="auto"/>
                <w:sz w:val="22"/>
                <w:szCs w:val="22"/>
                <w:highlight w:val="none"/>
              </w:rPr>
            </w:pPr>
          </w:p>
        </w:tc>
        <w:tc>
          <w:tcPr>
            <w:tcW w:w="1803" w:type="dxa"/>
            <w:noWrap/>
            <w:vAlign w:val="center"/>
          </w:tcPr>
          <w:p>
            <w:pPr>
              <w:spacing w:line="380" w:lineRule="exact"/>
              <w:jc w:val="center"/>
              <w:rPr>
                <w:rFonts w:hint="eastAsia" w:ascii="宋体" w:hAnsi="Times New Roman" w:eastAsia="宋体" w:cs="Times New Roman"/>
                <w:b w:val="0"/>
                <w:bCs/>
                <w:color w:val="auto"/>
                <w:sz w:val="22"/>
                <w:szCs w:val="22"/>
                <w:highlight w:val="none"/>
              </w:rPr>
            </w:pPr>
            <w:r>
              <w:rPr>
                <w:rFonts w:hint="eastAsia" w:ascii="宋体" w:hAnsi="Times New Roman" w:eastAsia="宋体" w:cs="Times New Roman"/>
                <w:b w:val="0"/>
                <w:bCs/>
                <w:color w:val="auto"/>
                <w:sz w:val="22"/>
                <w:szCs w:val="22"/>
                <w:highlight w:val="none"/>
              </w:rPr>
              <w:t>铝合金轮毂</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continue"/>
            <w:noWrap/>
            <w:vAlign w:val="center"/>
          </w:tcPr>
          <w:p>
            <w:pPr>
              <w:spacing w:line="380" w:lineRule="exact"/>
              <w:jc w:val="center"/>
              <w:rPr>
                <w:rFonts w:ascii="宋体" w:eastAsia="宋体"/>
                <w:b w:val="0"/>
                <w:bCs/>
                <w:color w:val="auto"/>
                <w:sz w:val="22"/>
                <w:szCs w:val="22"/>
                <w:highlight w:val="none"/>
              </w:rPr>
            </w:pPr>
          </w:p>
        </w:tc>
        <w:tc>
          <w:tcPr>
            <w:tcW w:w="1686" w:type="dxa"/>
            <w:vMerge w:val="continue"/>
            <w:noWrap/>
            <w:vAlign w:val="center"/>
          </w:tcPr>
          <w:p>
            <w:pPr>
              <w:spacing w:line="380" w:lineRule="exact"/>
              <w:jc w:val="center"/>
              <w:rPr>
                <w:rFonts w:ascii="宋体" w:eastAsia="宋体"/>
                <w:b w:val="0"/>
                <w:bCs/>
                <w:color w:val="auto"/>
                <w:sz w:val="22"/>
                <w:szCs w:val="22"/>
                <w:highlight w:val="none"/>
              </w:rPr>
            </w:pPr>
          </w:p>
        </w:tc>
        <w:tc>
          <w:tcPr>
            <w:tcW w:w="1803" w:type="dxa"/>
            <w:noWrap/>
            <w:vAlign w:val="center"/>
          </w:tcPr>
          <w:p>
            <w:pPr>
              <w:spacing w:line="380" w:lineRule="exact"/>
              <w:jc w:val="center"/>
              <w:rPr>
                <w:rFonts w:hint="eastAsia" w:ascii="宋体" w:hAnsi="Times New Roman" w:eastAsia="宋体" w:cs="Times New Roman"/>
                <w:b w:val="0"/>
                <w:bCs/>
                <w:color w:val="auto"/>
                <w:sz w:val="22"/>
                <w:szCs w:val="22"/>
                <w:highlight w:val="none"/>
              </w:rPr>
            </w:pPr>
            <w:r>
              <w:rPr>
                <w:rFonts w:hint="eastAsia" w:ascii="宋体" w:hAnsi="Times New Roman" w:eastAsia="宋体" w:cs="Times New Roman"/>
                <w:b w:val="0"/>
                <w:bCs/>
                <w:color w:val="auto"/>
                <w:sz w:val="22"/>
                <w:szCs w:val="22"/>
                <w:highlight w:val="none"/>
                <w:lang w:eastAsia="zh-CN"/>
              </w:rPr>
              <w:t>自动排水阀</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continue"/>
            <w:noWrap/>
            <w:vAlign w:val="center"/>
          </w:tcPr>
          <w:p>
            <w:pPr>
              <w:spacing w:line="380" w:lineRule="exact"/>
              <w:jc w:val="center"/>
              <w:rPr>
                <w:rFonts w:ascii="宋体" w:eastAsia="宋体"/>
                <w:b w:val="0"/>
                <w:bCs/>
                <w:color w:val="auto"/>
                <w:sz w:val="22"/>
                <w:szCs w:val="22"/>
                <w:highlight w:val="none"/>
              </w:rPr>
            </w:pPr>
          </w:p>
        </w:tc>
        <w:tc>
          <w:tcPr>
            <w:tcW w:w="1686" w:type="dxa"/>
            <w:vMerge w:val="continue"/>
            <w:noWrap/>
            <w:vAlign w:val="center"/>
          </w:tcPr>
          <w:p>
            <w:pPr>
              <w:spacing w:line="380" w:lineRule="exact"/>
              <w:jc w:val="center"/>
              <w:rPr>
                <w:rFonts w:ascii="宋体" w:eastAsia="宋体"/>
                <w:b w:val="0"/>
                <w:bCs/>
                <w:color w:val="auto"/>
                <w:sz w:val="22"/>
                <w:szCs w:val="22"/>
                <w:highlight w:val="none"/>
              </w:rPr>
            </w:pPr>
          </w:p>
        </w:tc>
        <w:tc>
          <w:tcPr>
            <w:tcW w:w="1803" w:type="dxa"/>
            <w:noWrap/>
            <w:vAlign w:val="center"/>
          </w:tcPr>
          <w:p>
            <w:pPr>
              <w:spacing w:line="380" w:lineRule="exact"/>
              <w:jc w:val="center"/>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轮胎</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restart"/>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3</w:t>
            </w:r>
          </w:p>
        </w:tc>
        <w:tc>
          <w:tcPr>
            <w:tcW w:w="1686" w:type="dxa"/>
            <w:vMerge w:val="restart"/>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电气系统</w:t>
            </w:r>
          </w:p>
        </w:tc>
        <w:tc>
          <w:tcPr>
            <w:tcW w:w="1803"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电池</w:t>
            </w:r>
            <w:r>
              <w:rPr>
                <w:rFonts w:hint="eastAsia" w:ascii="宋体" w:eastAsia="宋体"/>
                <w:b w:val="0"/>
                <w:bCs/>
                <w:color w:val="auto"/>
                <w:sz w:val="22"/>
                <w:szCs w:val="22"/>
                <w:highlight w:val="none"/>
                <w:lang w:eastAsia="zh-CN"/>
              </w:rPr>
              <w:t>仓</w:t>
            </w:r>
            <w:r>
              <w:rPr>
                <w:rFonts w:hint="eastAsia" w:ascii="宋体" w:eastAsia="宋体"/>
                <w:b w:val="0"/>
                <w:bCs/>
                <w:color w:val="auto"/>
                <w:sz w:val="22"/>
                <w:szCs w:val="22"/>
                <w:highlight w:val="none"/>
              </w:rPr>
              <w:t>灭火装置</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continue"/>
            <w:noWrap/>
            <w:vAlign w:val="center"/>
          </w:tcPr>
          <w:p>
            <w:pPr>
              <w:spacing w:line="380" w:lineRule="exact"/>
              <w:jc w:val="center"/>
              <w:rPr>
                <w:rFonts w:ascii="宋体" w:eastAsia="宋体"/>
                <w:b w:val="0"/>
                <w:bCs/>
                <w:color w:val="auto"/>
                <w:sz w:val="22"/>
                <w:szCs w:val="22"/>
                <w:highlight w:val="none"/>
              </w:rPr>
            </w:pPr>
          </w:p>
        </w:tc>
        <w:tc>
          <w:tcPr>
            <w:tcW w:w="1686" w:type="dxa"/>
            <w:vMerge w:val="continue"/>
            <w:noWrap/>
            <w:vAlign w:val="center"/>
          </w:tcPr>
          <w:p>
            <w:pPr>
              <w:spacing w:line="380" w:lineRule="exact"/>
              <w:jc w:val="center"/>
              <w:rPr>
                <w:rFonts w:ascii="宋体" w:eastAsia="宋体"/>
                <w:b w:val="0"/>
                <w:bCs/>
                <w:color w:val="auto"/>
                <w:sz w:val="22"/>
                <w:szCs w:val="22"/>
                <w:highlight w:val="none"/>
              </w:rPr>
            </w:pPr>
          </w:p>
        </w:tc>
        <w:tc>
          <w:tcPr>
            <w:tcW w:w="1803" w:type="dxa"/>
            <w:noWrap/>
            <w:vAlign w:val="center"/>
          </w:tcPr>
          <w:p>
            <w:pPr>
              <w:spacing w:line="380" w:lineRule="exact"/>
              <w:jc w:val="center"/>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电池热管理系统</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continue"/>
            <w:noWrap/>
            <w:vAlign w:val="center"/>
          </w:tcPr>
          <w:p>
            <w:pPr>
              <w:spacing w:line="380" w:lineRule="exact"/>
              <w:jc w:val="center"/>
              <w:rPr>
                <w:rFonts w:ascii="宋体" w:eastAsia="宋体"/>
                <w:b w:val="0"/>
                <w:bCs/>
                <w:color w:val="auto"/>
                <w:sz w:val="22"/>
                <w:szCs w:val="22"/>
                <w:highlight w:val="none"/>
              </w:rPr>
            </w:pPr>
          </w:p>
        </w:tc>
        <w:tc>
          <w:tcPr>
            <w:tcW w:w="1686" w:type="dxa"/>
            <w:vMerge w:val="continue"/>
            <w:noWrap/>
            <w:vAlign w:val="center"/>
          </w:tcPr>
          <w:p>
            <w:pPr>
              <w:spacing w:line="380" w:lineRule="exact"/>
              <w:jc w:val="center"/>
              <w:rPr>
                <w:rFonts w:ascii="宋体" w:eastAsia="宋体"/>
                <w:b w:val="0"/>
                <w:bCs/>
                <w:color w:val="auto"/>
                <w:sz w:val="22"/>
                <w:szCs w:val="22"/>
                <w:highlight w:val="none"/>
              </w:rPr>
            </w:pPr>
          </w:p>
        </w:tc>
        <w:tc>
          <w:tcPr>
            <w:tcW w:w="1803"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CAN总线</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continue"/>
            <w:noWrap/>
            <w:vAlign w:val="center"/>
          </w:tcPr>
          <w:p>
            <w:pPr>
              <w:spacing w:line="380" w:lineRule="exact"/>
              <w:jc w:val="center"/>
              <w:rPr>
                <w:rFonts w:ascii="宋体" w:eastAsia="宋体"/>
                <w:b w:val="0"/>
                <w:bCs/>
                <w:color w:val="auto"/>
                <w:sz w:val="22"/>
                <w:szCs w:val="22"/>
                <w:highlight w:val="none"/>
              </w:rPr>
            </w:pPr>
          </w:p>
        </w:tc>
        <w:tc>
          <w:tcPr>
            <w:tcW w:w="1686" w:type="dxa"/>
            <w:vMerge w:val="continue"/>
            <w:noWrap/>
            <w:vAlign w:val="center"/>
          </w:tcPr>
          <w:p>
            <w:pPr>
              <w:spacing w:line="380" w:lineRule="exact"/>
              <w:jc w:val="center"/>
              <w:rPr>
                <w:rFonts w:ascii="宋体" w:eastAsia="宋体"/>
                <w:b w:val="0"/>
                <w:bCs/>
                <w:color w:val="auto"/>
                <w:sz w:val="22"/>
                <w:szCs w:val="22"/>
                <w:highlight w:val="none"/>
              </w:rPr>
            </w:pPr>
          </w:p>
        </w:tc>
        <w:tc>
          <w:tcPr>
            <w:tcW w:w="1803" w:type="dxa"/>
            <w:noWrap/>
            <w:vAlign w:val="center"/>
          </w:tcPr>
          <w:p>
            <w:pPr>
              <w:spacing w:line="380" w:lineRule="exact"/>
              <w:jc w:val="center"/>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空压机</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continue"/>
            <w:noWrap/>
            <w:vAlign w:val="center"/>
          </w:tcPr>
          <w:p>
            <w:pPr>
              <w:spacing w:line="380" w:lineRule="exact"/>
              <w:jc w:val="center"/>
              <w:rPr>
                <w:rFonts w:ascii="宋体" w:eastAsia="宋体"/>
                <w:b w:val="0"/>
                <w:bCs/>
                <w:color w:val="auto"/>
                <w:sz w:val="22"/>
                <w:szCs w:val="22"/>
                <w:highlight w:val="none"/>
              </w:rPr>
            </w:pPr>
          </w:p>
        </w:tc>
        <w:tc>
          <w:tcPr>
            <w:tcW w:w="1686" w:type="dxa"/>
            <w:vMerge w:val="continue"/>
            <w:noWrap/>
            <w:vAlign w:val="center"/>
          </w:tcPr>
          <w:p>
            <w:pPr>
              <w:spacing w:line="380" w:lineRule="exact"/>
              <w:jc w:val="center"/>
              <w:rPr>
                <w:rFonts w:ascii="宋体" w:eastAsia="宋体"/>
                <w:b w:val="0"/>
                <w:bCs/>
                <w:color w:val="auto"/>
                <w:sz w:val="22"/>
                <w:szCs w:val="22"/>
                <w:highlight w:val="none"/>
              </w:rPr>
            </w:pPr>
          </w:p>
        </w:tc>
        <w:tc>
          <w:tcPr>
            <w:tcW w:w="1803"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门系统</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restart"/>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4</w:t>
            </w:r>
          </w:p>
        </w:tc>
        <w:tc>
          <w:tcPr>
            <w:tcW w:w="1686" w:type="dxa"/>
            <w:vMerge w:val="restart"/>
            <w:noWrap/>
            <w:vAlign w:val="center"/>
          </w:tcPr>
          <w:p>
            <w:pPr>
              <w:tabs>
                <w:tab w:val="left" w:pos="381"/>
              </w:tabs>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车内布置</w:t>
            </w:r>
          </w:p>
        </w:tc>
        <w:tc>
          <w:tcPr>
            <w:tcW w:w="1803"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乘客座椅</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continue"/>
            <w:noWrap/>
            <w:vAlign w:val="center"/>
          </w:tcPr>
          <w:p>
            <w:pPr>
              <w:spacing w:line="380" w:lineRule="exact"/>
              <w:jc w:val="center"/>
              <w:rPr>
                <w:rFonts w:hint="eastAsia" w:ascii="宋体" w:eastAsia="宋体"/>
                <w:b w:val="0"/>
                <w:bCs/>
                <w:color w:val="auto"/>
                <w:sz w:val="22"/>
                <w:szCs w:val="22"/>
                <w:highlight w:val="none"/>
              </w:rPr>
            </w:pPr>
          </w:p>
        </w:tc>
        <w:tc>
          <w:tcPr>
            <w:tcW w:w="1686" w:type="dxa"/>
            <w:vMerge w:val="continue"/>
            <w:noWrap/>
            <w:vAlign w:val="center"/>
          </w:tcPr>
          <w:p>
            <w:pPr>
              <w:tabs>
                <w:tab w:val="left" w:pos="381"/>
              </w:tabs>
              <w:spacing w:line="380" w:lineRule="exact"/>
              <w:jc w:val="center"/>
              <w:rPr>
                <w:rFonts w:hint="eastAsia" w:ascii="宋体" w:eastAsia="宋体"/>
                <w:b w:val="0"/>
                <w:bCs/>
                <w:color w:val="auto"/>
                <w:sz w:val="22"/>
                <w:szCs w:val="22"/>
                <w:highlight w:val="none"/>
              </w:rPr>
            </w:pPr>
          </w:p>
        </w:tc>
        <w:tc>
          <w:tcPr>
            <w:tcW w:w="1803" w:type="dxa"/>
            <w:noWrap/>
            <w:vAlign w:val="center"/>
          </w:tcPr>
          <w:p>
            <w:pPr>
              <w:spacing w:line="380" w:lineRule="exact"/>
              <w:jc w:val="center"/>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司机座椅</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continue"/>
            <w:noWrap/>
            <w:vAlign w:val="center"/>
          </w:tcPr>
          <w:p>
            <w:pPr>
              <w:spacing w:line="380" w:lineRule="exact"/>
              <w:jc w:val="center"/>
              <w:rPr>
                <w:rFonts w:ascii="宋体" w:eastAsia="宋体"/>
                <w:b w:val="0"/>
                <w:bCs/>
                <w:color w:val="auto"/>
                <w:sz w:val="22"/>
                <w:szCs w:val="22"/>
                <w:highlight w:val="none"/>
              </w:rPr>
            </w:pPr>
          </w:p>
        </w:tc>
        <w:tc>
          <w:tcPr>
            <w:tcW w:w="1686" w:type="dxa"/>
            <w:vMerge w:val="continue"/>
            <w:noWrap/>
            <w:vAlign w:val="center"/>
          </w:tcPr>
          <w:p>
            <w:pPr>
              <w:spacing w:line="380" w:lineRule="exact"/>
              <w:jc w:val="center"/>
              <w:rPr>
                <w:rFonts w:ascii="宋体" w:eastAsia="宋体"/>
                <w:b w:val="0"/>
                <w:bCs/>
                <w:color w:val="auto"/>
                <w:sz w:val="22"/>
                <w:szCs w:val="22"/>
                <w:highlight w:val="none"/>
              </w:rPr>
            </w:pPr>
          </w:p>
        </w:tc>
        <w:tc>
          <w:tcPr>
            <w:tcW w:w="1803"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全景风道</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continue"/>
            <w:noWrap/>
            <w:vAlign w:val="center"/>
          </w:tcPr>
          <w:p>
            <w:pPr>
              <w:spacing w:line="380" w:lineRule="exact"/>
              <w:jc w:val="center"/>
              <w:rPr>
                <w:rFonts w:ascii="宋体" w:eastAsia="宋体"/>
                <w:b w:val="0"/>
                <w:bCs/>
                <w:color w:val="auto"/>
                <w:sz w:val="22"/>
                <w:szCs w:val="22"/>
                <w:highlight w:val="none"/>
              </w:rPr>
            </w:pPr>
          </w:p>
        </w:tc>
        <w:tc>
          <w:tcPr>
            <w:tcW w:w="1686" w:type="dxa"/>
            <w:vMerge w:val="continue"/>
            <w:noWrap/>
            <w:vAlign w:val="center"/>
          </w:tcPr>
          <w:p>
            <w:pPr>
              <w:spacing w:line="380" w:lineRule="exact"/>
              <w:jc w:val="center"/>
              <w:rPr>
                <w:rFonts w:ascii="宋体" w:eastAsia="宋体"/>
                <w:b w:val="0"/>
                <w:bCs/>
                <w:color w:val="auto"/>
                <w:sz w:val="22"/>
                <w:szCs w:val="22"/>
                <w:highlight w:val="none"/>
              </w:rPr>
            </w:pPr>
          </w:p>
        </w:tc>
        <w:tc>
          <w:tcPr>
            <w:tcW w:w="1803"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PVC地板、顶板（前顶、后顶）</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continue"/>
            <w:noWrap/>
            <w:vAlign w:val="center"/>
          </w:tcPr>
          <w:p>
            <w:pPr>
              <w:spacing w:line="380" w:lineRule="exact"/>
              <w:jc w:val="center"/>
              <w:rPr>
                <w:rFonts w:ascii="宋体" w:eastAsia="宋体"/>
                <w:b w:val="0"/>
                <w:bCs/>
                <w:color w:val="auto"/>
                <w:sz w:val="22"/>
                <w:szCs w:val="22"/>
                <w:highlight w:val="none"/>
              </w:rPr>
            </w:pPr>
          </w:p>
        </w:tc>
        <w:tc>
          <w:tcPr>
            <w:tcW w:w="1686" w:type="dxa"/>
            <w:vMerge w:val="continue"/>
            <w:noWrap/>
            <w:vAlign w:val="center"/>
          </w:tcPr>
          <w:p>
            <w:pPr>
              <w:spacing w:line="380" w:lineRule="exact"/>
              <w:jc w:val="center"/>
              <w:rPr>
                <w:rFonts w:ascii="宋体" w:eastAsia="宋体"/>
                <w:b w:val="0"/>
                <w:bCs/>
                <w:color w:val="auto"/>
                <w:sz w:val="22"/>
                <w:szCs w:val="22"/>
                <w:highlight w:val="none"/>
              </w:rPr>
            </w:pPr>
          </w:p>
        </w:tc>
        <w:tc>
          <w:tcPr>
            <w:tcW w:w="1803"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司机包围</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continue"/>
            <w:noWrap/>
            <w:vAlign w:val="center"/>
          </w:tcPr>
          <w:p>
            <w:pPr>
              <w:spacing w:line="380" w:lineRule="exact"/>
              <w:jc w:val="center"/>
              <w:rPr>
                <w:rFonts w:ascii="宋体" w:eastAsia="宋体"/>
                <w:b w:val="0"/>
                <w:bCs/>
                <w:color w:val="auto"/>
                <w:sz w:val="22"/>
                <w:szCs w:val="22"/>
                <w:highlight w:val="none"/>
              </w:rPr>
            </w:pPr>
          </w:p>
        </w:tc>
        <w:tc>
          <w:tcPr>
            <w:tcW w:w="1686" w:type="dxa"/>
            <w:vMerge w:val="continue"/>
            <w:noWrap/>
            <w:vAlign w:val="center"/>
          </w:tcPr>
          <w:p>
            <w:pPr>
              <w:spacing w:line="380" w:lineRule="exact"/>
              <w:jc w:val="center"/>
              <w:rPr>
                <w:rFonts w:ascii="宋体" w:eastAsia="宋体"/>
                <w:b w:val="0"/>
                <w:bCs/>
                <w:color w:val="auto"/>
                <w:sz w:val="22"/>
                <w:szCs w:val="22"/>
                <w:highlight w:val="none"/>
              </w:rPr>
            </w:pPr>
          </w:p>
        </w:tc>
        <w:tc>
          <w:tcPr>
            <w:tcW w:w="1803"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地板革</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5</w:t>
            </w:r>
          </w:p>
        </w:tc>
        <w:tc>
          <w:tcPr>
            <w:tcW w:w="1686"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空调系统</w:t>
            </w:r>
          </w:p>
        </w:tc>
        <w:tc>
          <w:tcPr>
            <w:tcW w:w="1803"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空调整机</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restart"/>
            <w:noWrap/>
            <w:vAlign w:val="center"/>
          </w:tcPr>
          <w:p>
            <w:pPr>
              <w:spacing w:line="380" w:lineRule="exact"/>
              <w:jc w:val="center"/>
              <w:rPr>
                <w:rFonts w:hint="eastAsia" w:ascii="宋体" w:eastAsia="宋体"/>
                <w:b w:val="0"/>
                <w:bCs/>
                <w:color w:val="auto"/>
                <w:sz w:val="22"/>
                <w:szCs w:val="22"/>
                <w:highlight w:val="none"/>
                <w:lang w:val="en-US" w:eastAsia="zh-CN"/>
              </w:rPr>
            </w:pPr>
            <w:r>
              <w:rPr>
                <w:rFonts w:hint="eastAsia" w:ascii="宋体" w:eastAsia="宋体"/>
                <w:b w:val="0"/>
                <w:bCs/>
                <w:color w:val="auto"/>
                <w:sz w:val="22"/>
                <w:szCs w:val="22"/>
                <w:highlight w:val="none"/>
                <w:lang w:val="en-US" w:eastAsia="zh-CN"/>
              </w:rPr>
              <w:t>6</w:t>
            </w:r>
          </w:p>
        </w:tc>
        <w:tc>
          <w:tcPr>
            <w:tcW w:w="1686" w:type="dxa"/>
            <w:vMerge w:val="restart"/>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服务系统</w:t>
            </w:r>
          </w:p>
        </w:tc>
        <w:tc>
          <w:tcPr>
            <w:tcW w:w="1803"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电子路牌</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continue"/>
            <w:noWrap/>
            <w:vAlign w:val="center"/>
          </w:tcPr>
          <w:p>
            <w:pPr>
              <w:spacing w:line="380" w:lineRule="exact"/>
              <w:jc w:val="center"/>
              <w:rPr>
                <w:rFonts w:ascii="宋体" w:eastAsia="宋体"/>
                <w:b w:val="0"/>
                <w:bCs/>
                <w:color w:val="auto"/>
                <w:sz w:val="22"/>
                <w:szCs w:val="22"/>
                <w:highlight w:val="none"/>
              </w:rPr>
            </w:pPr>
          </w:p>
        </w:tc>
        <w:tc>
          <w:tcPr>
            <w:tcW w:w="1686" w:type="dxa"/>
            <w:vMerge w:val="continue"/>
            <w:noWrap/>
            <w:vAlign w:val="center"/>
          </w:tcPr>
          <w:p>
            <w:pPr>
              <w:spacing w:line="380" w:lineRule="exact"/>
              <w:jc w:val="center"/>
              <w:rPr>
                <w:rFonts w:ascii="宋体" w:eastAsia="宋体"/>
                <w:b w:val="0"/>
                <w:bCs/>
                <w:color w:val="auto"/>
                <w:sz w:val="22"/>
                <w:szCs w:val="22"/>
                <w:highlight w:val="none"/>
              </w:rPr>
            </w:pPr>
          </w:p>
        </w:tc>
        <w:tc>
          <w:tcPr>
            <w:tcW w:w="1803"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LCD显示屏（导乘屏）32寸</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vMerge w:val="continue"/>
            <w:noWrap/>
            <w:vAlign w:val="center"/>
          </w:tcPr>
          <w:p>
            <w:pPr>
              <w:spacing w:line="380" w:lineRule="exact"/>
              <w:jc w:val="center"/>
              <w:rPr>
                <w:rFonts w:ascii="宋体" w:eastAsia="宋体"/>
                <w:b w:val="0"/>
                <w:bCs/>
                <w:color w:val="auto"/>
                <w:sz w:val="22"/>
                <w:szCs w:val="22"/>
                <w:highlight w:val="none"/>
              </w:rPr>
            </w:pPr>
          </w:p>
        </w:tc>
        <w:tc>
          <w:tcPr>
            <w:tcW w:w="1686" w:type="dxa"/>
            <w:vMerge w:val="continue"/>
            <w:noWrap/>
            <w:vAlign w:val="center"/>
          </w:tcPr>
          <w:p>
            <w:pPr>
              <w:spacing w:line="380" w:lineRule="exact"/>
              <w:jc w:val="center"/>
              <w:rPr>
                <w:rFonts w:ascii="宋体" w:eastAsia="宋体"/>
                <w:b w:val="0"/>
                <w:bCs/>
                <w:color w:val="auto"/>
                <w:sz w:val="22"/>
                <w:szCs w:val="22"/>
                <w:highlight w:val="none"/>
              </w:rPr>
            </w:pPr>
          </w:p>
        </w:tc>
        <w:tc>
          <w:tcPr>
            <w:tcW w:w="1803"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投币机</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7</w:t>
            </w:r>
          </w:p>
        </w:tc>
        <w:tc>
          <w:tcPr>
            <w:tcW w:w="1686" w:type="dxa"/>
            <w:noWrap/>
            <w:vAlign w:val="center"/>
          </w:tcPr>
          <w:p>
            <w:pPr>
              <w:spacing w:line="380" w:lineRule="exact"/>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车厢阻燃</w:t>
            </w:r>
          </w:p>
        </w:tc>
        <w:tc>
          <w:tcPr>
            <w:tcW w:w="1803" w:type="dxa"/>
            <w:noWrap/>
            <w:vAlign w:val="center"/>
          </w:tcPr>
          <w:p>
            <w:pPr>
              <w:spacing w:line="380" w:lineRule="exact"/>
              <w:jc w:val="center"/>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车顶、侧围、电池仓</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noWrap/>
            <w:vAlign w:val="center"/>
          </w:tcPr>
          <w:p>
            <w:pPr>
              <w:spacing w:line="380" w:lineRule="exact"/>
              <w:jc w:val="center"/>
              <w:rPr>
                <w:rFonts w:hint="eastAsia" w:ascii="宋体" w:eastAsia="宋体"/>
                <w:b w:val="0"/>
                <w:bCs/>
                <w:color w:val="auto"/>
                <w:sz w:val="22"/>
                <w:szCs w:val="22"/>
                <w:highlight w:val="none"/>
                <w:lang w:val="en-US" w:eastAsia="zh-CN"/>
              </w:rPr>
            </w:pPr>
            <w:r>
              <w:rPr>
                <w:rFonts w:hint="eastAsia" w:ascii="宋体" w:eastAsia="宋体"/>
                <w:b w:val="0"/>
                <w:bCs/>
                <w:color w:val="auto"/>
                <w:sz w:val="22"/>
                <w:szCs w:val="22"/>
                <w:highlight w:val="none"/>
                <w:lang w:val="en-US" w:eastAsia="zh-CN"/>
              </w:rPr>
              <w:t>8</w:t>
            </w:r>
          </w:p>
        </w:tc>
        <w:tc>
          <w:tcPr>
            <w:tcW w:w="1686" w:type="dxa"/>
            <w:noWrap/>
            <w:vAlign w:val="center"/>
          </w:tcPr>
          <w:p>
            <w:pPr>
              <w:spacing w:line="380" w:lineRule="exact"/>
              <w:jc w:val="center"/>
              <w:rPr>
                <w:rFonts w:hint="default" w:ascii="宋体" w:eastAsia="宋体"/>
                <w:b w:val="0"/>
                <w:bCs/>
                <w:color w:val="auto"/>
                <w:sz w:val="22"/>
                <w:szCs w:val="22"/>
                <w:highlight w:val="none"/>
                <w:lang w:val="en-US" w:eastAsia="zh-CN"/>
              </w:rPr>
            </w:pPr>
            <w:r>
              <w:rPr>
                <w:rFonts w:hint="eastAsia" w:ascii="宋体" w:eastAsia="宋体"/>
                <w:b w:val="0"/>
                <w:bCs/>
                <w:color w:val="auto"/>
                <w:sz w:val="22"/>
                <w:szCs w:val="22"/>
                <w:highlight w:val="none"/>
                <w:lang w:val="en-US" w:eastAsia="zh-CN"/>
              </w:rPr>
              <w:t>...</w:t>
            </w:r>
          </w:p>
        </w:tc>
        <w:tc>
          <w:tcPr>
            <w:tcW w:w="1803" w:type="dxa"/>
            <w:noWrap/>
            <w:vAlign w:val="center"/>
          </w:tcPr>
          <w:p>
            <w:pPr>
              <w:spacing w:line="380" w:lineRule="exact"/>
              <w:jc w:val="center"/>
              <w:rPr>
                <w:rFonts w:hint="default" w:ascii="宋体" w:eastAsia="宋体"/>
                <w:b w:val="0"/>
                <w:bCs/>
                <w:color w:val="auto"/>
                <w:sz w:val="22"/>
                <w:szCs w:val="22"/>
                <w:highlight w:val="none"/>
                <w:lang w:val="en-US" w:eastAsia="zh-CN"/>
              </w:rPr>
            </w:pPr>
            <w:r>
              <w:rPr>
                <w:rFonts w:hint="eastAsia" w:ascii="宋体" w:eastAsia="宋体"/>
                <w:b w:val="0"/>
                <w:bCs/>
                <w:color w:val="auto"/>
                <w:sz w:val="22"/>
                <w:szCs w:val="22"/>
                <w:highlight w:val="none"/>
                <w:lang w:val="en-US" w:eastAsia="zh-CN"/>
              </w:rPr>
              <w:t>...</w:t>
            </w:r>
          </w:p>
        </w:tc>
        <w:tc>
          <w:tcPr>
            <w:tcW w:w="1979" w:type="dxa"/>
            <w:noWrap/>
            <w:vAlign w:val="center"/>
          </w:tcPr>
          <w:p>
            <w:pPr>
              <w:spacing w:line="380" w:lineRule="exact"/>
              <w:jc w:val="center"/>
              <w:rPr>
                <w:rFonts w:ascii="宋体" w:eastAsia="宋体"/>
                <w:b w:val="0"/>
                <w:bCs/>
                <w:color w:val="auto"/>
                <w:sz w:val="22"/>
                <w:szCs w:val="22"/>
                <w:highlight w:val="none"/>
              </w:rPr>
            </w:pPr>
          </w:p>
        </w:tc>
        <w:tc>
          <w:tcPr>
            <w:tcW w:w="1281" w:type="dxa"/>
            <w:noWrap/>
            <w:vAlign w:val="center"/>
          </w:tcPr>
          <w:p>
            <w:pPr>
              <w:spacing w:line="380" w:lineRule="exact"/>
              <w:jc w:val="center"/>
              <w:rPr>
                <w:rFonts w:ascii="宋体" w:eastAsia="宋体"/>
                <w:b w:val="0"/>
                <w:bCs/>
                <w:color w:val="auto"/>
                <w:sz w:val="22"/>
                <w:szCs w:val="22"/>
                <w:highlight w:val="none"/>
              </w:rPr>
            </w:pPr>
          </w:p>
        </w:tc>
        <w:tc>
          <w:tcPr>
            <w:tcW w:w="1276" w:type="dxa"/>
            <w:noWrap/>
            <w:vAlign w:val="center"/>
          </w:tcPr>
          <w:p>
            <w:pPr>
              <w:spacing w:line="380" w:lineRule="exact"/>
              <w:jc w:val="center"/>
              <w:rPr>
                <w:rFonts w:ascii="宋体" w:eastAsia="宋体"/>
                <w:b w:val="0"/>
                <w:bCs/>
                <w:color w:val="auto"/>
                <w:sz w:val="22"/>
                <w:szCs w:val="22"/>
                <w:highlight w:val="none"/>
              </w:rPr>
            </w:pPr>
          </w:p>
        </w:tc>
        <w:tc>
          <w:tcPr>
            <w:tcW w:w="1033" w:type="dxa"/>
            <w:noWrap/>
            <w:vAlign w:val="center"/>
          </w:tcPr>
          <w:p>
            <w:pPr>
              <w:spacing w:line="380" w:lineRule="exact"/>
              <w:jc w:val="center"/>
              <w:rPr>
                <w:rFonts w:ascii="宋体" w:eastAsia="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4346" w:type="dxa"/>
            <w:gridSpan w:val="3"/>
            <w:noWrap/>
            <w:vAlign w:val="center"/>
          </w:tcPr>
          <w:p>
            <w:pPr>
              <w:spacing w:line="360" w:lineRule="auto"/>
              <w:jc w:val="center"/>
              <w:rPr>
                <w:rFonts w:ascii="宋体" w:eastAsia="宋体"/>
                <w:b w:val="0"/>
                <w:bCs/>
                <w:color w:val="auto"/>
                <w:sz w:val="22"/>
                <w:szCs w:val="22"/>
                <w:highlight w:val="none"/>
              </w:rPr>
            </w:pPr>
            <w:r>
              <w:rPr>
                <w:rFonts w:ascii="宋体" w:eastAsia="宋体"/>
                <w:b w:val="0"/>
                <w:bCs/>
                <w:color w:val="auto"/>
                <w:sz w:val="22"/>
                <w:szCs w:val="22"/>
                <w:highlight w:val="none"/>
              </w:rPr>
              <w:t>投标</w:t>
            </w:r>
            <w:r>
              <w:rPr>
                <w:rFonts w:hint="eastAsia" w:ascii="宋体" w:eastAsia="宋体"/>
                <w:b w:val="0"/>
                <w:bCs/>
                <w:color w:val="auto"/>
                <w:sz w:val="22"/>
                <w:szCs w:val="22"/>
                <w:highlight w:val="none"/>
              </w:rPr>
              <w:t>供应商</w:t>
            </w:r>
            <w:r>
              <w:rPr>
                <w:rFonts w:ascii="宋体" w:eastAsia="宋体"/>
                <w:b w:val="0"/>
                <w:bCs/>
                <w:color w:val="auto"/>
                <w:sz w:val="22"/>
                <w:szCs w:val="22"/>
                <w:highlight w:val="none"/>
              </w:rPr>
              <w:t>全称（盖章）：</w:t>
            </w:r>
          </w:p>
          <w:p>
            <w:pPr>
              <w:spacing w:line="380" w:lineRule="exact"/>
              <w:jc w:val="center"/>
              <w:rPr>
                <w:rFonts w:ascii="宋体" w:eastAsia="宋体"/>
                <w:b w:val="0"/>
                <w:bCs/>
                <w:color w:val="auto"/>
                <w:sz w:val="22"/>
                <w:szCs w:val="22"/>
                <w:highlight w:val="none"/>
              </w:rPr>
            </w:pPr>
          </w:p>
        </w:tc>
        <w:tc>
          <w:tcPr>
            <w:tcW w:w="5569" w:type="dxa"/>
            <w:gridSpan w:val="4"/>
            <w:noWrap/>
            <w:vAlign w:val="center"/>
          </w:tcPr>
          <w:p>
            <w:pPr>
              <w:spacing w:line="360" w:lineRule="auto"/>
              <w:jc w:val="center"/>
              <w:rPr>
                <w:rFonts w:ascii="宋体" w:eastAsia="宋体"/>
                <w:b w:val="0"/>
                <w:bCs/>
                <w:color w:val="auto"/>
                <w:sz w:val="22"/>
                <w:szCs w:val="22"/>
                <w:highlight w:val="none"/>
              </w:rPr>
            </w:pPr>
          </w:p>
          <w:p>
            <w:pPr>
              <w:spacing w:line="360" w:lineRule="auto"/>
              <w:jc w:val="left"/>
              <w:rPr>
                <w:rFonts w:ascii="宋体" w:eastAsia="宋体"/>
                <w:b w:val="0"/>
                <w:bCs/>
                <w:color w:val="auto"/>
                <w:sz w:val="22"/>
                <w:szCs w:val="22"/>
                <w:highlight w:val="none"/>
              </w:rPr>
            </w:pPr>
            <w:r>
              <w:rPr>
                <w:rFonts w:ascii="宋体" w:eastAsia="宋体"/>
                <w:b w:val="0"/>
                <w:bCs/>
                <w:color w:val="auto"/>
                <w:sz w:val="22"/>
                <w:szCs w:val="22"/>
                <w:highlight w:val="none"/>
              </w:rPr>
              <w:t>法定代表人或授权代表（签字</w:t>
            </w:r>
            <w:r>
              <w:rPr>
                <w:rFonts w:hint="eastAsia" w:ascii="宋体" w:eastAsia="宋体"/>
                <w:b w:val="0"/>
                <w:bCs/>
                <w:color w:val="auto"/>
                <w:sz w:val="22"/>
                <w:szCs w:val="22"/>
                <w:highlight w:val="none"/>
              </w:rPr>
              <w:t>或盖章</w:t>
            </w:r>
            <w:r>
              <w:rPr>
                <w:rFonts w:ascii="宋体" w:eastAsia="宋体"/>
                <w:b w:val="0"/>
                <w:bCs/>
                <w:color w:val="auto"/>
                <w:sz w:val="22"/>
                <w:szCs w:val="22"/>
                <w:highlight w:val="none"/>
              </w:rPr>
              <w:t>）：</w:t>
            </w:r>
          </w:p>
          <w:p>
            <w:pPr>
              <w:spacing w:line="380" w:lineRule="exact"/>
              <w:jc w:val="center"/>
              <w:rPr>
                <w:rFonts w:ascii="宋体" w:eastAsia="宋体"/>
                <w:b w:val="0"/>
                <w:bCs/>
                <w:color w:val="auto"/>
                <w:sz w:val="22"/>
                <w:szCs w:val="22"/>
                <w:highlight w:val="none"/>
              </w:rPr>
            </w:pPr>
          </w:p>
          <w:p>
            <w:pPr>
              <w:spacing w:line="380" w:lineRule="exact"/>
              <w:jc w:val="right"/>
              <w:rPr>
                <w:rFonts w:ascii="宋体" w:eastAsia="宋体"/>
                <w:b w:val="0"/>
                <w:bCs/>
                <w:color w:val="auto"/>
                <w:sz w:val="22"/>
                <w:szCs w:val="22"/>
                <w:highlight w:val="none"/>
              </w:rPr>
            </w:pPr>
            <w:r>
              <w:rPr>
                <w:rFonts w:hint="eastAsia" w:ascii="宋体" w:eastAsia="宋体"/>
                <w:b w:val="0"/>
                <w:bCs/>
                <w:color w:val="auto"/>
                <w:sz w:val="22"/>
                <w:szCs w:val="22"/>
                <w:highlight w:val="none"/>
              </w:rPr>
              <w:t>年  月  日</w:t>
            </w:r>
          </w:p>
        </w:tc>
      </w:tr>
    </w:tbl>
    <w:p>
      <w:pPr>
        <w:spacing w:before="240" w:beforeLines="100" w:line="360" w:lineRule="auto"/>
        <w:rPr>
          <w:rFonts w:hint="default" w:ascii="宋体" w:hAnsi="Times New Roman" w:eastAsia="宋体" w:cs="Times New Roman"/>
          <w:b w:val="0"/>
          <w:bCs/>
          <w:color w:val="auto"/>
          <w:sz w:val="22"/>
          <w:szCs w:val="22"/>
          <w:highlight w:val="none"/>
          <w:u w:val="single"/>
          <w:lang w:val="en-US"/>
        </w:rPr>
      </w:pPr>
      <w:r>
        <w:rPr>
          <w:rFonts w:ascii="宋体" w:eastAsia="宋体"/>
          <w:b w:val="0"/>
          <w:bCs/>
          <w:color w:val="auto"/>
          <w:sz w:val="22"/>
          <w:szCs w:val="22"/>
          <w:highlight w:val="none"/>
        </w:rPr>
        <w:t>注：</w:t>
      </w:r>
      <w:r>
        <w:rPr>
          <w:rFonts w:hint="eastAsia" w:ascii="宋体" w:eastAsia="宋体"/>
          <w:b w:val="0"/>
          <w:bCs/>
          <w:color w:val="auto"/>
          <w:sz w:val="22"/>
          <w:szCs w:val="22"/>
          <w:highlight w:val="none"/>
        </w:rPr>
        <w:t>1、</w:t>
      </w:r>
      <w:r>
        <w:rPr>
          <w:rFonts w:hint="eastAsia" w:ascii="宋体" w:eastAsia="宋体"/>
          <w:b w:val="0"/>
          <w:bCs/>
          <w:color w:val="auto"/>
          <w:sz w:val="22"/>
          <w:szCs w:val="22"/>
          <w:highlight w:val="none"/>
          <w:u w:val="single"/>
        </w:rPr>
        <w:t>不提供此表格</w:t>
      </w:r>
      <w:r>
        <w:rPr>
          <w:rFonts w:hint="eastAsia" w:ascii="宋体" w:eastAsia="宋体"/>
          <w:b w:val="0"/>
          <w:bCs/>
          <w:color w:val="auto"/>
          <w:sz w:val="22"/>
          <w:szCs w:val="22"/>
          <w:highlight w:val="none"/>
          <w:u w:val="single"/>
          <w:lang w:val="en-US" w:eastAsia="zh-CN"/>
        </w:rPr>
        <w:t>将</w:t>
      </w:r>
      <w:r>
        <w:rPr>
          <w:rFonts w:hint="eastAsia" w:ascii="宋体" w:hAnsi="Times New Roman" w:eastAsia="宋体" w:cs="Times New Roman"/>
          <w:b w:val="0"/>
          <w:bCs/>
          <w:color w:val="auto"/>
          <w:sz w:val="22"/>
          <w:szCs w:val="22"/>
          <w:highlight w:val="none"/>
          <w:u w:val="single"/>
          <w:lang w:val="en-US" w:eastAsia="zh-CN"/>
        </w:rPr>
        <w:t>影响“</w:t>
      </w:r>
      <w:r>
        <w:rPr>
          <w:rFonts w:hint="eastAsia" w:ascii="宋体" w:hAnsi="Times New Roman" w:eastAsia="宋体" w:cs="Times New Roman"/>
          <w:b w:val="0"/>
          <w:bCs/>
          <w:color w:val="auto"/>
          <w:sz w:val="22"/>
          <w:szCs w:val="22"/>
          <w:highlight w:val="none"/>
          <w:u w:val="single"/>
        </w:rPr>
        <w:t>所投产品技术指标、性能等与采购需求的符合性</w:t>
      </w:r>
      <w:r>
        <w:rPr>
          <w:rFonts w:hint="eastAsia" w:ascii="宋体" w:hAnsi="Times New Roman" w:eastAsia="宋体" w:cs="Times New Roman"/>
          <w:b w:val="0"/>
          <w:bCs/>
          <w:color w:val="auto"/>
          <w:sz w:val="22"/>
          <w:szCs w:val="22"/>
          <w:highlight w:val="none"/>
          <w:u w:val="single"/>
          <w:lang w:val="en-US" w:eastAsia="zh-CN"/>
        </w:rPr>
        <w:t>”评审，造成的后果由供应商自行承担</w:t>
      </w:r>
    </w:p>
    <w:p>
      <w:pPr>
        <w:spacing w:line="360" w:lineRule="auto"/>
        <w:ind w:firstLine="440" w:firstLineChars="200"/>
        <w:rPr>
          <w:rFonts w:ascii="宋体" w:eastAsia="宋体"/>
          <w:b w:val="0"/>
          <w:bCs/>
          <w:color w:val="auto"/>
          <w:sz w:val="22"/>
          <w:szCs w:val="22"/>
          <w:highlight w:val="none"/>
        </w:rPr>
      </w:pPr>
      <w:r>
        <w:rPr>
          <w:rFonts w:hint="eastAsia" w:ascii="宋体" w:eastAsia="宋体"/>
          <w:b w:val="0"/>
          <w:bCs/>
          <w:color w:val="auto"/>
          <w:sz w:val="22"/>
          <w:szCs w:val="22"/>
          <w:highlight w:val="none"/>
        </w:rPr>
        <w:t>2、表格允许延续增加项目、不允许减少项目</w:t>
      </w:r>
      <w:r>
        <w:rPr>
          <w:rFonts w:ascii="宋体" w:eastAsia="宋体"/>
          <w:b w:val="0"/>
          <w:bCs/>
          <w:color w:val="auto"/>
          <w:sz w:val="22"/>
          <w:szCs w:val="22"/>
          <w:highlight w:val="none"/>
        </w:rPr>
        <w:t>。</w:t>
      </w:r>
    </w:p>
    <w:p>
      <w:pPr>
        <w:spacing w:line="360" w:lineRule="auto"/>
        <w:ind w:firstLine="440"/>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3、此表不允许手写，须打字。</w:t>
      </w:r>
    </w:p>
    <w:p>
      <w:pPr>
        <w:spacing w:line="360" w:lineRule="auto"/>
        <w:ind w:firstLine="440"/>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（中标供应商须在领取中标通知书时再提供一份部件信息表原件）</w:t>
      </w:r>
    </w:p>
    <w:p>
      <w:pPr>
        <w:pStyle w:val="21"/>
        <w:spacing w:before="120" w:after="120"/>
        <w:ind w:left="0" w:leftChars="0" w:firstLine="0" w:firstLineChars="0"/>
        <w:rPr>
          <w:rFonts w:hint="eastAsia"/>
          <w:color w:val="auto"/>
          <w:highlight w:val="none"/>
          <w:lang w:val="zh-CN"/>
        </w:rPr>
      </w:pPr>
    </w:p>
    <w:p>
      <w:pPr>
        <w:pStyle w:val="21"/>
        <w:spacing w:before="120" w:after="120"/>
        <w:ind w:left="447" w:hanging="447"/>
        <w:rPr>
          <w:rFonts w:hint="eastAsia"/>
          <w:color w:val="auto"/>
          <w:highlight w:val="none"/>
          <w:lang w:val="zh-CN"/>
        </w:rPr>
      </w:pPr>
    </w:p>
    <w:p>
      <w:pPr>
        <w:pStyle w:val="21"/>
        <w:spacing w:before="120" w:after="120"/>
        <w:ind w:left="447" w:hanging="447"/>
        <w:rPr>
          <w:rFonts w:hint="eastAsia"/>
          <w:color w:val="auto"/>
          <w:highlight w:val="none"/>
          <w:lang w:val="zh-CN"/>
        </w:rPr>
      </w:pPr>
    </w:p>
    <w:p>
      <w:pPr>
        <w:pStyle w:val="21"/>
        <w:spacing w:before="120" w:after="120"/>
        <w:ind w:left="652" w:hanging="652"/>
        <w:rPr>
          <w:rFonts w:hint="eastAsia" w:ascii="宋体" w:hAnsi="宋体" w:eastAsia="宋体" w:cs="宋体"/>
          <w:b/>
          <w:bCs/>
          <w:color w:val="auto"/>
          <w:sz w:val="32"/>
          <w:szCs w:val="32"/>
          <w:highlight w:val="none"/>
        </w:rPr>
        <w:sectPr>
          <w:pgSz w:w="11907" w:h="16840"/>
          <w:pgMar w:top="1134" w:right="1021" w:bottom="1134" w:left="1021" w:header="850" w:footer="992" w:gutter="0"/>
          <w:cols w:space="720" w:num="1"/>
          <w:docGrid w:linePitch="312" w:charSpace="0"/>
        </w:sectPr>
      </w:pPr>
    </w:p>
    <w:p>
      <w:pPr>
        <w:autoSpaceDE w:val="0"/>
        <w:autoSpaceDN w:val="0"/>
        <w:adjustRightInd w:val="0"/>
        <w:spacing w:line="460" w:lineRule="atLeast"/>
        <w:jc w:val="left"/>
        <w:rPr>
          <w:rFonts w:hint="eastAsia" w:ascii="宋体" w:hAnsi="宋体" w:cs="宋体"/>
          <w:color w:val="auto"/>
          <w:sz w:val="32"/>
          <w:highlight w:val="none"/>
        </w:rPr>
      </w:pPr>
      <w:r>
        <w:rPr>
          <w:rFonts w:hint="eastAsia" w:ascii="宋体" w:hAnsi="宋体" w:cs="宋体"/>
          <w:b/>
          <w:color w:val="auto"/>
          <w:sz w:val="32"/>
          <w:highlight w:val="none"/>
          <w:lang w:val="zh-CN"/>
        </w:rPr>
        <w:t>附件三</w:t>
      </w:r>
      <w:r>
        <w:rPr>
          <w:rFonts w:hint="eastAsia" w:ascii="宋体" w:hAnsi="宋体" w:cs="宋体"/>
          <w:b/>
          <w:color w:val="auto"/>
          <w:sz w:val="32"/>
          <w:highlight w:val="none"/>
        </w:rPr>
        <w:t>（</w:t>
      </w:r>
      <w:r>
        <w:rPr>
          <w:rFonts w:hint="eastAsia" w:ascii="宋体" w:hAnsi="宋体" w:cs="宋体"/>
          <w:b/>
          <w:color w:val="auto"/>
          <w:sz w:val="32"/>
          <w:highlight w:val="none"/>
          <w:lang w:val="zh-CN"/>
        </w:rPr>
        <w:t>一</w:t>
      </w:r>
      <w:r>
        <w:rPr>
          <w:rFonts w:hint="eastAsia" w:ascii="宋体" w:hAnsi="宋体" w:cs="宋体"/>
          <w:b/>
          <w:color w:val="auto"/>
          <w:sz w:val="32"/>
          <w:highlight w:val="none"/>
        </w:rPr>
        <w:t>）</w:t>
      </w:r>
    </w:p>
    <w:p>
      <w:pPr>
        <w:autoSpaceDE w:val="0"/>
        <w:autoSpaceDN w:val="0"/>
        <w:adjustRightInd w:val="0"/>
        <w:spacing w:line="460" w:lineRule="atLeast"/>
        <w:ind w:firstLine="3592" w:firstLineChars="998"/>
        <w:rPr>
          <w:rFonts w:hint="eastAsia" w:ascii="宋体" w:hAnsi="宋体" w:cs="宋体"/>
          <w:color w:val="auto"/>
          <w:sz w:val="36"/>
          <w:highlight w:val="none"/>
          <w:lang w:val="zh-CN"/>
        </w:rPr>
      </w:pPr>
      <w:r>
        <w:rPr>
          <w:rFonts w:hint="eastAsia" w:ascii="宋体" w:hAnsi="宋体" w:cs="宋体"/>
          <w:color w:val="auto"/>
          <w:sz w:val="36"/>
          <w:highlight w:val="none"/>
          <w:lang w:val="zh-CN"/>
        </w:rPr>
        <w:t>商务偏离表</w:t>
      </w:r>
    </w:p>
    <w:tbl>
      <w:tblPr>
        <w:tblStyle w:val="42"/>
        <w:tblW w:w="0" w:type="auto"/>
        <w:tblInd w:w="108" w:type="dxa"/>
        <w:tblLayout w:type="fixed"/>
        <w:tblCellMar>
          <w:top w:w="0" w:type="dxa"/>
          <w:left w:w="108" w:type="dxa"/>
          <w:bottom w:w="0" w:type="dxa"/>
          <w:right w:w="108" w:type="dxa"/>
        </w:tblCellMar>
      </w:tblPr>
      <w:tblGrid>
        <w:gridCol w:w="882"/>
        <w:gridCol w:w="1710"/>
        <w:gridCol w:w="2448"/>
        <w:gridCol w:w="2326"/>
        <w:gridCol w:w="2557"/>
      </w:tblGrid>
      <w:tr>
        <w:tblPrEx>
          <w:tblCellMar>
            <w:top w:w="0" w:type="dxa"/>
            <w:left w:w="108" w:type="dxa"/>
            <w:bottom w:w="0" w:type="dxa"/>
            <w:right w:w="108" w:type="dxa"/>
          </w:tblCellMar>
        </w:tblPrEx>
        <w:trPr>
          <w:trHeight w:val="936" w:hRule="atLeast"/>
        </w:trPr>
        <w:tc>
          <w:tcPr>
            <w:tcW w:w="8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60" w:lineRule="atLeas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序 号</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60" w:lineRule="atLeas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4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60" w:lineRule="atLeas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招标文件规范要求</w:t>
            </w:r>
          </w:p>
        </w:tc>
        <w:tc>
          <w:tcPr>
            <w:tcW w:w="2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60" w:lineRule="atLeas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投标文件对应规范</w:t>
            </w:r>
          </w:p>
        </w:tc>
        <w:tc>
          <w:tcPr>
            <w:tcW w:w="25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60" w:lineRule="atLeas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备 注</w:t>
            </w:r>
          </w:p>
        </w:tc>
      </w:tr>
      <w:tr>
        <w:tblPrEx>
          <w:tblCellMar>
            <w:top w:w="0" w:type="dxa"/>
            <w:left w:w="108" w:type="dxa"/>
            <w:bottom w:w="0" w:type="dxa"/>
            <w:right w:w="108" w:type="dxa"/>
          </w:tblCellMar>
        </w:tblPrEx>
        <w:trPr>
          <w:trHeight w:val="424" w:hRule="atLeast"/>
        </w:trPr>
        <w:tc>
          <w:tcPr>
            <w:tcW w:w="8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17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4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3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5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8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17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4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3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5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8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17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4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3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5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r>
      <w:tr>
        <w:tblPrEx>
          <w:tblCellMar>
            <w:top w:w="0" w:type="dxa"/>
            <w:left w:w="108" w:type="dxa"/>
            <w:bottom w:w="0" w:type="dxa"/>
            <w:right w:w="108" w:type="dxa"/>
          </w:tblCellMar>
        </w:tblPrEx>
        <w:trPr>
          <w:trHeight w:val="436" w:hRule="atLeast"/>
        </w:trPr>
        <w:tc>
          <w:tcPr>
            <w:tcW w:w="8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17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4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3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5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8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17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4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3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5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8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17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4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3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5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8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17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4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3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5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r>
      <w:tr>
        <w:tblPrEx>
          <w:tblCellMar>
            <w:top w:w="0" w:type="dxa"/>
            <w:left w:w="108" w:type="dxa"/>
            <w:bottom w:w="0" w:type="dxa"/>
            <w:right w:w="108" w:type="dxa"/>
          </w:tblCellMar>
        </w:tblPrEx>
        <w:trPr>
          <w:trHeight w:val="436" w:hRule="atLeast"/>
        </w:trPr>
        <w:tc>
          <w:tcPr>
            <w:tcW w:w="8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17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4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3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5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r>
    </w:tbl>
    <w:p>
      <w:pPr>
        <w:autoSpaceDE w:val="0"/>
        <w:autoSpaceDN w:val="0"/>
        <w:adjustRightInd w:val="0"/>
        <w:spacing w:line="460" w:lineRule="atLeast"/>
        <w:rPr>
          <w:rFonts w:hint="eastAsia" w:ascii="宋体" w:hAnsi="宋体" w:cs="宋体"/>
          <w:color w:val="auto"/>
          <w:sz w:val="32"/>
          <w:highlight w:val="none"/>
          <w:lang w:val="zh-CN"/>
        </w:rPr>
      </w:pPr>
      <w:r>
        <w:rPr>
          <w:rFonts w:hint="eastAsia" w:ascii="宋体" w:hAnsi="宋体" w:cs="宋体"/>
          <w:color w:val="auto"/>
          <w:sz w:val="24"/>
          <w:highlight w:val="none"/>
          <w:lang w:val="zh-CN"/>
        </w:rPr>
        <w:t>供应商盖章：</w:t>
      </w:r>
      <w:r>
        <w:rPr>
          <w:rFonts w:hint="eastAsia" w:ascii="宋体" w:hAnsi="宋体" w:cs="宋体"/>
          <w:color w:val="auto"/>
          <w:sz w:val="24"/>
          <w:highlight w:val="none"/>
          <w:u w:val="single"/>
          <w:lang w:val="zh-CN"/>
        </w:rPr>
        <w:t xml:space="preserve">            </w:t>
      </w:r>
    </w:p>
    <w:p>
      <w:pPr>
        <w:autoSpaceDE w:val="0"/>
        <w:autoSpaceDN w:val="0"/>
        <w:adjustRightInd w:val="0"/>
        <w:spacing w:line="460" w:lineRule="atLeast"/>
        <w:rPr>
          <w:rFonts w:hint="eastAsia" w:ascii="宋体" w:hAnsi="宋体" w:cs="宋体"/>
          <w:color w:val="auto"/>
          <w:sz w:val="32"/>
          <w:highlight w:val="none"/>
          <w:lang w:val="zh-CN"/>
        </w:rPr>
      </w:pPr>
    </w:p>
    <w:p>
      <w:pPr>
        <w:autoSpaceDE w:val="0"/>
        <w:autoSpaceDN w:val="0"/>
        <w:adjustRightInd w:val="0"/>
        <w:spacing w:line="460" w:lineRule="atLeast"/>
        <w:rPr>
          <w:rFonts w:hint="eastAsia" w:ascii="宋体" w:hAnsi="宋体" w:cs="宋体"/>
          <w:color w:val="auto"/>
          <w:sz w:val="32"/>
          <w:highlight w:val="none"/>
          <w:lang w:val="zh-CN"/>
        </w:rPr>
      </w:pPr>
      <w:r>
        <w:rPr>
          <w:rFonts w:hint="eastAsia" w:ascii="宋体" w:hAnsi="宋体" w:cs="宋体"/>
          <w:color w:val="auto"/>
          <w:sz w:val="32"/>
          <w:highlight w:val="none"/>
          <w:lang w:val="zh-CN"/>
        </w:rPr>
        <w:t>附件三（二）</w:t>
      </w:r>
    </w:p>
    <w:p>
      <w:pPr>
        <w:autoSpaceDE w:val="0"/>
        <w:autoSpaceDN w:val="0"/>
        <w:adjustRightInd w:val="0"/>
        <w:spacing w:line="460" w:lineRule="atLeast"/>
        <w:ind w:firstLine="3600" w:firstLineChars="1000"/>
        <w:rPr>
          <w:rFonts w:hint="eastAsia" w:ascii="宋体" w:hAnsi="宋体" w:cs="宋体"/>
          <w:color w:val="auto"/>
          <w:sz w:val="36"/>
          <w:highlight w:val="none"/>
          <w:lang w:val="zh-CN"/>
        </w:rPr>
      </w:pPr>
      <w:r>
        <w:rPr>
          <w:rFonts w:hint="eastAsia" w:ascii="宋体" w:hAnsi="宋体" w:cs="宋体"/>
          <w:color w:val="auto"/>
          <w:sz w:val="36"/>
          <w:highlight w:val="none"/>
          <w:lang w:val="zh-CN"/>
        </w:rPr>
        <w:t>技术偏离表</w:t>
      </w:r>
    </w:p>
    <w:tbl>
      <w:tblPr>
        <w:tblStyle w:val="42"/>
        <w:tblW w:w="0" w:type="auto"/>
        <w:tblInd w:w="108" w:type="dxa"/>
        <w:tblLayout w:type="fixed"/>
        <w:tblCellMar>
          <w:top w:w="0" w:type="dxa"/>
          <w:left w:w="108" w:type="dxa"/>
          <w:bottom w:w="0" w:type="dxa"/>
          <w:right w:w="108" w:type="dxa"/>
        </w:tblCellMar>
      </w:tblPr>
      <w:tblGrid>
        <w:gridCol w:w="882"/>
        <w:gridCol w:w="1708"/>
        <w:gridCol w:w="2270"/>
        <w:gridCol w:w="2517"/>
        <w:gridCol w:w="2546"/>
      </w:tblGrid>
      <w:tr>
        <w:tblPrEx>
          <w:tblCellMar>
            <w:top w:w="0" w:type="dxa"/>
            <w:left w:w="108" w:type="dxa"/>
            <w:bottom w:w="0" w:type="dxa"/>
            <w:right w:w="108" w:type="dxa"/>
          </w:tblCellMar>
        </w:tblPrEx>
        <w:trPr>
          <w:trHeight w:val="918" w:hRule="atLeast"/>
        </w:trPr>
        <w:tc>
          <w:tcPr>
            <w:tcW w:w="8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60" w:lineRule="atLeas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序 号</w:t>
            </w:r>
          </w:p>
        </w:tc>
        <w:tc>
          <w:tcPr>
            <w:tcW w:w="17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60" w:lineRule="atLeas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60" w:lineRule="atLeas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招标文件规范要求</w:t>
            </w:r>
          </w:p>
        </w:tc>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60" w:lineRule="atLeas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投标文件对应规范</w:t>
            </w:r>
          </w:p>
        </w:tc>
        <w:tc>
          <w:tcPr>
            <w:tcW w:w="25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60" w:lineRule="atLeas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备 注</w:t>
            </w:r>
          </w:p>
        </w:tc>
      </w:tr>
      <w:tr>
        <w:tblPrEx>
          <w:tblCellMar>
            <w:top w:w="0" w:type="dxa"/>
            <w:left w:w="108" w:type="dxa"/>
            <w:bottom w:w="0" w:type="dxa"/>
            <w:right w:w="108" w:type="dxa"/>
          </w:tblCellMar>
        </w:tblPrEx>
        <w:tc>
          <w:tcPr>
            <w:tcW w:w="8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1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2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4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r>
      <w:tr>
        <w:tblPrEx>
          <w:tblCellMar>
            <w:top w:w="0" w:type="dxa"/>
            <w:left w:w="108" w:type="dxa"/>
            <w:bottom w:w="0" w:type="dxa"/>
            <w:right w:w="108" w:type="dxa"/>
          </w:tblCellMar>
        </w:tblPrEx>
        <w:tc>
          <w:tcPr>
            <w:tcW w:w="8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1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2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4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r>
      <w:tr>
        <w:tblPrEx>
          <w:tblCellMar>
            <w:top w:w="0" w:type="dxa"/>
            <w:left w:w="108" w:type="dxa"/>
            <w:bottom w:w="0" w:type="dxa"/>
            <w:right w:w="108" w:type="dxa"/>
          </w:tblCellMar>
        </w:tblPrEx>
        <w:tc>
          <w:tcPr>
            <w:tcW w:w="8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1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2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4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r>
      <w:tr>
        <w:tblPrEx>
          <w:tblCellMar>
            <w:top w:w="0" w:type="dxa"/>
            <w:left w:w="108" w:type="dxa"/>
            <w:bottom w:w="0" w:type="dxa"/>
            <w:right w:w="108" w:type="dxa"/>
          </w:tblCellMar>
        </w:tblPrEx>
        <w:tc>
          <w:tcPr>
            <w:tcW w:w="8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1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2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4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r>
      <w:tr>
        <w:tblPrEx>
          <w:tblCellMar>
            <w:top w:w="0" w:type="dxa"/>
            <w:left w:w="108" w:type="dxa"/>
            <w:bottom w:w="0" w:type="dxa"/>
            <w:right w:w="108" w:type="dxa"/>
          </w:tblCellMar>
        </w:tblPrEx>
        <w:tc>
          <w:tcPr>
            <w:tcW w:w="8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1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2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4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r>
      <w:tr>
        <w:tblPrEx>
          <w:tblCellMar>
            <w:top w:w="0" w:type="dxa"/>
            <w:left w:w="108" w:type="dxa"/>
            <w:bottom w:w="0" w:type="dxa"/>
            <w:right w:w="108" w:type="dxa"/>
          </w:tblCellMar>
        </w:tblPrEx>
        <w:tc>
          <w:tcPr>
            <w:tcW w:w="8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1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2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c>
          <w:tcPr>
            <w:tcW w:w="254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60" w:lineRule="atLeast"/>
              <w:jc w:val="center"/>
              <w:rPr>
                <w:rFonts w:hint="eastAsia" w:ascii="宋体" w:hAnsi="宋体" w:cs="宋体"/>
                <w:color w:val="auto"/>
                <w:sz w:val="24"/>
                <w:highlight w:val="none"/>
                <w:lang w:val="zh-CN"/>
              </w:rPr>
            </w:pPr>
          </w:p>
        </w:tc>
      </w:tr>
    </w:tbl>
    <w:p>
      <w:pPr>
        <w:autoSpaceDE w:val="0"/>
        <w:autoSpaceDN w:val="0"/>
        <w:adjustRightInd w:val="0"/>
        <w:spacing w:line="460" w:lineRule="atLeast"/>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供应商盖章：</w:t>
      </w:r>
      <w:r>
        <w:rPr>
          <w:rFonts w:hint="eastAsia" w:ascii="宋体" w:hAnsi="宋体" w:cs="宋体"/>
          <w:color w:val="auto"/>
          <w:sz w:val="24"/>
          <w:highlight w:val="none"/>
          <w:u w:val="single"/>
          <w:lang w:val="zh-CN"/>
        </w:rPr>
        <w:t xml:space="preserve">               </w:t>
      </w:r>
    </w:p>
    <w:p>
      <w:pPr>
        <w:autoSpaceDE w:val="0"/>
        <w:autoSpaceDN w:val="0"/>
        <w:adjustRightInd w:val="0"/>
        <w:spacing w:line="460" w:lineRule="exact"/>
        <w:ind w:firstLine="3710" w:firstLineChars="1325"/>
        <w:rPr>
          <w:rFonts w:hint="eastAsia" w:ascii="宋体" w:hAnsi="宋体" w:cs="宋体"/>
          <w:bCs/>
          <w:color w:val="auto"/>
          <w:sz w:val="28"/>
          <w:szCs w:val="28"/>
          <w:highlight w:val="none"/>
          <w:lang w:val="zh-CN"/>
        </w:rPr>
      </w:pPr>
    </w:p>
    <w:p>
      <w:pPr>
        <w:autoSpaceDE w:val="0"/>
        <w:autoSpaceDN w:val="0"/>
        <w:adjustRightInd w:val="0"/>
        <w:spacing w:line="460" w:lineRule="exact"/>
        <w:rPr>
          <w:rFonts w:hint="eastAsia" w:ascii="宋体" w:hAnsi="宋体" w:cs="宋体"/>
          <w:b/>
          <w:bCs/>
          <w:color w:val="auto"/>
          <w:sz w:val="28"/>
          <w:szCs w:val="28"/>
          <w:highlight w:val="none"/>
          <w:lang w:val="zh-CN"/>
        </w:rPr>
      </w:pPr>
    </w:p>
    <w:p>
      <w:pPr>
        <w:pStyle w:val="21"/>
        <w:spacing w:before="120" w:after="120"/>
        <w:ind w:left="447" w:hanging="447"/>
        <w:rPr>
          <w:rFonts w:hint="eastAsia"/>
          <w:color w:val="auto"/>
          <w:highlight w:val="none"/>
          <w:lang w:val="zh-CN"/>
        </w:rPr>
      </w:pPr>
    </w:p>
    <w:p>
      <w:pPr>
        <w:autoSpaceDE w:val="0"/>
        <w:autoSpaceDN w:val="0"/>
        <w:adjustRightInd w:val="0"/>
        <w:spacing w:line="460" w:lineRule="exact"/>
        <w:ind w:firstLine="3724" w:firstLineChars="1325"/>
        <w:rPr>
          <w:rFonts w:hint="eastAsia" w:ascii="宋体" w:hAnsi="宋体" w:cs="宋体"/>
          <w:b/>
          <w:bCs/>
          <w:color w:val="auto"/>
          <w:sz w:val="28"/>
          <w:szCs w:val="28"/>
          <w:highlight w:val="none"/>
          <w:lang w:val="zh-CN"/>
        </w:rPr>
      </w:pPr>
    </w:p>
    <w:p>
      <w:pPr>
        <w:pStyle w:val="21"/>
        <w:spacing w:before="120" w:after="120"/>
        <w:ind w:left="447" w:hanging="447"/>
        <w:rPr>
          <w:rFonts w:hint="eastAsia"/>
          <w:color w:val="auto"/>
          <w:highlight w:val="none"/>
          <w:lang w:val="zh-CN"/>
        </w:rPr>
      </w:pPr>
    </w:p>
    <w:p>
      <w:pPr>
        <w:autoSpaceDE w:val="0"/>
        <w:autoSpaceDN w:val="0"/>
        <w:adjustRightInd w:val="0"/>
        <w:spacing w:line="460" w:lineRule="exact"/>
        <w:rPr>
          <w:rFonts w:hint="eastAsia" w:ascii="宋体" w:hAnsi="宋体" w:cs="宋体"/>
          <w:b/>
          <w:color w:val="auto"/>
          <w:sz w:val="32"/>
          <w:highlight w:val="none"/>
          <w:lang w:val="zh-CN"/>
        </w:rPr>
      </w:pPr>
      <w:r>
        <w:rPr>
          <w:rFonts w:hint="eastAsia" w:ascii="宋体" w:hAnsi="宋体" w:cs="宋体"/>
          <w:b/>
          <w:color w:val="auto"/>
          <w:sz w:val="32"/>
          <w:highlight w:val="none"/>
          <w:lang w:val="zh-CN"/>
        </w:rPr>
        <w:t>附件四</w:t>
      </w:r>
    </w:p>
    <w:p>
      <w:pPr>
        <w:autoSpaceDE w:val="0"/>
        <w:autoSpaceDN w:val="0"/>
        <w:adjustRightInd w:val="0"/>
        <w:spacing w:line="460" w:lineRule="exact"/>
        <w:jc w:val="center"/>
        <w:rPr>
          <w:rFonts w:hint="eastAsia" w:ascii="宋体" w:hAnsi="宋体" w:cs="宋体"/>
          <w:b/>
          <w:color w:val="auto"/>
          <w:sz w:val="32"/>
          <w:highlight w:val="none"/>
          <w:lang w:val="zh-CN"/>
        </w:rPr>
      </w:pPr>
      <w:r>
        <w:rPr>
          <w:rFonts w:hint="eastAsia" w:ascii="宋体" w:hAnsi="宋体" w:cs="宋体"/>
          <w:b/>
          <w:color w:val="auto"/>
          <w:sz w:val="36"/>
          <w:highlight w:val="none"/>
          <w:lang w:val="zh-CN"/>
        </w:rPr>
        <w:t>投标资格、资质证明文件</w:t>
      </w:r>
    </w:p>
    <w:p>
      <w:pPr>
        <w:autoSpaceDE w:val="0"/>
        <w:autoSpaceDN w:val="0"/>
        <w:adjustRightInd w:val="0"/>
        <w:spacing w:line="460" w:lineRule="exact"/>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（一）法定代表人授权书</w:t>
      </w:r>
    </w:p>
    <w:p>
      <w:pPr>
        <w:autoSpaceDE w:val="0"/>
        <w:autoSpaceDN w:val="0"/>
        <w:adjustRightInd w:val="0"/>
        <w:spacing w:line="460" w:lineRule="exact"/>
        <w:rPr>
          <w:rFonts w:hint="eastAsia" w:ascii="宋体" w:hAnsi="宋体" w:cs="宋体"/>
          <w:color w:val="auto"/>
          <w:sz w:val="24"/>
          <w:highlight w:val="none"/>
          <w:lang w:val="zh-CN"/>
        </w:rPr>
      </w:pPr>
    </w:p>
    <w:p>
      <w:pPr>
        <w:spacing w:line="360" w:lineRule="auto"/>
        <w:rPr>
          <w:rFonts w:hint="eastAsia" w:ascii="宋体" w:hAnsi="宋体" w:cs="宋体"/>
          <w:color w:val="auto"/>
          <w:highlight w:val="none"/>
          <w:u w:val="single"/>
        </w:rPr>
      </w:pPr>
    </w:p>
    <w:p>
      <w:pPr>
        <w:pStyle w:val="24"/>
        <w:adjustRightInd w:val="0"/>
        <w:snapToGrid w:val="0"/>
        <w:spacing w:line="360" w:lineRule="atLeast"/>
        <w:rPr>
          <w:rFonts w:hint="eastAsia" w:hAnsi="宋体" w:cs="宋体"/>
          <w:color w:val="auto"/>
          <w:szCs w:val="22"/>
          <w:highlight w:val="none"/>
          <w:u w:val="single"/>
        </w:rPr>
      </w:pPr>
      <w:r>
        <w:rPr>
          <w:rFonts w:hint="eastAsia" w:hAnsi="宋体" w:cs="宋体"/>
          <w:color w:val="auto"/>
          <w:szCs w:val="22"/>
          <w:highlight w:val="none"/>
          <w:u w:val="single"/>
          <w:lang w:eastAsia="zh-CN"/>
        </w:rPr>
        <w:t>温州长安集团有限公司</w:t>
      </w:r>
      <w:r>
        <w:rPr>
          <w:rFonts w:hint="eastAsia" w:hAnsi="宋体" w:cs="宋体"/>
          <w:color w:val="auto"/>
          <w:szCs w:val="22"/>
          <w:highlight w:val="none"/>
          <w:lang w:val="zh-CN"/>
        </w:rPr>
        <w:t>：</w:t>
      </w:r>
    </w:p>
    <w:p>
      <w:pPr>
        <w:spacing w:line="360" w:lineRule="auto"/>
        <w:rPr>
          <w:rFonts w:hint="eastAsia" w:ascii="宋体" w:hAnsi="宋体" w:cs="宋体"/>
          <w:color w:val="auto"/>
          <w:szCs w:val="22"/>
          <w:highlight w:val="none"/>
        </w:rPr>
      </w:pPr>
    </w:p>
    <w:p>
      <w:pPr>
        <w:spacing w:line="360" w:lineRule="auto"/>
        <w:ind w:firstLine="440" w:firstLineChars="200"/>
        <w:rPr>
          <w:rFonts w:hint="eastAsia" w:ascii="宋体" w:hAnsi="宋体" w:cs="宋体"/>
          <w:color w:val="auto"/>
          <w:szCs w:val="22"/>
          <w:highlight w:val="none"/>
        </w:rPr>
      </w:pPr>
      <w:r>
        <w:rPr>
          <w:rFonts w:hint="eastAsia" w:ascii="宋体" w:hAnsi="宋体" w:cs="宋体"/>
          <w:color w:val="auto"/>
          <w:szCs w:val="22"/>
          <w:highlight w:val="none"/>
        </w:rPr>
        <w:t>本授权委托书声明：我</w:t>
      </w:r>
      <w:r>
        <w:rPr>
          <w:rFonts w:hint="eastAsia" w:ascii="宋体" w:hAnsi="宋体" w:cs="宋体"/>
          <w:color w:val="auto"/>
          <w:szCs w:val="22"/>
          <w:highlight w:val="none"/>
          <w:u w:val="single"/>
        </w:rPr>
        <w:t xml:space="preserve">   （法定代表人姓名）   </w:t>
      </w:r>
      <w:r>
        <w:rPr>
          <w:rFonts w:hint="eastAsia" w:ascii="宋体" w:hAnsi="宋体" w:cs="宋体"/>
          <w:color w:val="auto"/>
          <w:szCs w:val="22"/>
          <w:highlight w:val="none"/>
        </w:rPr>
        <w:t>系</w:t>
      </w:r>
      <w:r>
        <w:rPr>
          <w:rFonts w:hint="eastAsia" w:ascii="宋体" w:hAnsi="宋体" w:cs="宋体"/>
          <w:color w:val="auto"/>
          <w:szCs w:val="22"/>
          <w:highlight w:val="none"/>
          <w:u w:val="single"/>
        </w:rPr>
        <w:t xml:space="preserve">   （供 应 商 名 称）  </w:t>
      </w:r>
      <w:r>
        <w:rPr>
          <w:rFonts w:hint="eastAsia" w:ascii="宋体" w:hAnsi="宋体" w:cs="宋体"/>
          <w:color w:val="auto"/>
          <w:szCs w:val="22"/>
          <w:highlight w:val="none"/>
        </w:rPr>
        <w:t>的法定代表人，现授权委托</w:t>
      </w:r>
      <w:r>
        <w:rPr>
          <w:rFonts w:hint="eastAsia" w:ascii="宋体" w:hAnsi="宋体" w:cs="宋体"/>
          <w:color w:val="auto"/>
          <w:szCs w:val="22"/>
          <w:highlight w:val="none"/>
          <w:u w:val="single"/>
        </w:rPr>
        <w:t xml:space="preserve">  （单 位 名 称）   </w:t>
      </w:r>
      <w:r>
        <w:rPr>
          <w:rFonts w:hint="eastAsia" w:ascii="宋体" w:hAnsi="宋体" w:cs="宋体"/>
          <w:color w:val="auto"/>
          <w:szCs w:val="22"/>
          <w:highlight w:val="none"/>
        </w:rPr>
        <w:t>的</w:t>
      </w:r>
      <w:r>
        <w:rPr>
          <w:rFonts w:hint="eastAsia" w:ascii="宋体" w:hAnsi="宋体" w:cs="宋体"/>
          <w:color w:val="auto"/>
          <w:szCs w:val="22"/>
          <w:highlight w:val="none"/>
          <w:u w:val="single"/>
        </w:rPr>
        <w:t xml:space="preserve">  （授权代表姓名）  </w:t>
      </w:r>
      <w:r>
        <w:rPr>
          <w:rFonts w:hint="eastAsia" w:ascii="宋体" w:hAnsi="宋体" w:cs="宋体"/>
          <w:color w:val="auto"/>
          <w:szCs w:val="22"/>
          <w:highlight w:val="none"/>
        </w:rPr>
        <w:t>为我公司法定代表人授权代表，参加贵处组织的</w:t>
      </w:r>
      <w:r>
        <w:rPr>
          <w:rFonts w:hint="eastAsia" w:ascii="宋体" w:hAnsi="宋体" w:cs="宋体"/>
          <w:color w:val="auto"/>
          <w:szCs w:val="22"/>
          <w:highlight w:val="none"/>
          <w:u w:val="single"/>
        </w:rPr>
        <w:t xml:space="preserve">  招标项目名称（括号中填写项目编号）  </w:t>
      </w:r>
      <w:r>
        <w:rPr>
          <w:rFonts w:hint="eastAsia" w:ascii="宋体" w:hAnsi="宋体" w:cs="宋体"/>
          <w:color w:val="auto"/>
          <w:szCs w:val="22"/>
          <w:highlight w:val="none"/>
        </w:rPr>
        <w:t>项目投标，全权处理本次招投标活动中的一切事宜，我承认授权代表全权代表我所签署的本项目的投标文件的内容。</w:t>
      </w:r>
    </w:p>
    <w:p>
      <w:pPr>
        <w:spacing w:line="360" w:lineRule="auto"/>
        <w:ind w:firstLine="440" w:firstLineChars="200"/>
        <w:rPr>
          <w:rFonts w:hint="eastAsia" w:ascii="宋体" w:hAnsi="宋体" w:cs="宋体"/>
          <w:color w:val="auto"/>
          <w:szCs w:val="22"/>
          <w:highlight w:val="none"/>
        </w:rPr>
      </w:pPr>
      <w:r>
        <w:rPr>
          <w:rFonts w:hint="eastAsia" w:ascii="宋体" w:hAnsi="宋体" w:cs="宋体"/>
          <w:color w:val="auto"/>
          <w:szCs w:val="22"/>
          <w:highlight w:val="none"/>
        </w:rPr>
        <w:t>授权代表无转授权，特此授权</w:t>
      </w:r>
    </w:p>
    <w:p>
      <w:pPr>
        <w:spacing w:line="360" w:lineRule="auto"/>
        <w:ind w:left="1260"/>
        <w:rPr>
          <w:rFonts w:hint="eastAsia" w:ascii="宋体" w:hAnsi="宋体" w:cs="宋体"/>
          <w:color w:val="auto"/>
          <w:szCs w:val="22"/>
          <w:highlight w:val="none"/>
        </w:rPr>
      </w:pPr>
    </w:p>
    <w:p>
      <w:pPr>
        <w:spacing w:line="360" w:lineRule="auto"/>
        <w:ind w:left="2198" w:leftChars="999" w:firstLine="959" w:firstLineChars="436"/>
        <w:rPr>
          <w:rFonts w:hint="eastAsia" w:ascii="宋体" w:hAnsi="宋体" w:cs="宋体"/>
          <w:color w:val="auto"/>
          <w:szCs w:val="22"/>
          <w:highlight w:val="none"/>
          <w:u w:val="single"/>
        </w:rPr>
      </w:pPr>
      <w:r>
        <w:rPr>
          <w:rFonts w:hint="eastAsia" w:ascii="宋体" w:hAnsi="宋体" w:cs="宋体"/>
          <w:color w:val="auto"/>
          <w:szCs w:val="22"/>
          <w:highlight w:val="none"/>
        </w:rPr>
        <w:t>授权代表：</w:t>
      </w:r>
      <w:r>
        <w:rPr>
          <w:rFonts w:hint="eastAsia" w:ascii="宋体" w:hAnsi="宋体" w:cs="宋体"/>
          <w:color w:val="auto"/>
          <w:szCs w:val="22"/>
          <w:highlight w:val="none"/>
          <w:u w:val="single"/>
        </w:rPr>
        <w:t xml:space="preserve">   （授权代表姓名）  </w:t>
      </w:r>
      <w:r>
        <w:rPr>
          <w:rFonts w:hint="eastAsia" w:ascii="宋体" w:hAnsi="宋体" w:cs="宋体"/>
          <w:color w:val="auto"/>
          <w:szCs w:val="22"/>
          <w:highlight w:val="none"/>
        </w:rPr>
        <w:t xml:space="preserve"> 性别 ：</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 xml:space="preserve"> 年龄：</w:t>
      </w:r>
      <w:r>
        <w:rPr>
          <w:rFonts w:hint="eastAsia" w:ascii="宋体" w:hAnsi="宋体" w:cs="宋体"/>
          <w:color w:val="auto"/>
          <w:szCs w:val="22"/>
          <w:highlight w:val="none"/>
          <w:u w:val="single"/>
        </w:rPr>
        <w:t xml:space="preserve">    </w:t>
      </w:r>
    </w:p>
    <w:p>
      <w:pPr>
        <w:spacing w:line="360" w:lineRule="auto"/>
        <w:ind w:left="2198" w:leftChars="999" w:firstLine="959" w:firstLineChars="436"/>
        <w:rPr>
          <w:rFonts w:hint="eastAsia" w:ascii="宋体" w:hAnsi="宋体" w:cs="宋体"/>
          <w:color w:val="auto"/>
          <w:szCs w:val="22"/>
          <w:highlight w:val="none"/>
          <w:u w:val="single"/>
        </w:rPr>
      </w:pPr>
      <w:r>
        <w:rPr>
          <w:rFonts w:hint="eastAsia" w:ascii="宋体" w:hAnsi="宋体" w:cs="宋体"/>
          <w:color w:val="auto"/>
          <w:szCs w:val="22"/>
          <w:highlight w:val="none"/>
        </w:rPr>
        <w:t>身份证号码：</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 xml:space="preserve"> 职务：</w:t>
      </w:r>
      <w:r>
        <w:rPr>
          <w:rFonts w:hint="eastAsia" w:ascii="宋体" w:hAnsi="宋体" w:cs="宋体"/>
          <w:color w:val="auto"/>
          <w:szCs w:val="22"/>
          <w:highlight w:val="none"/>
          <w:u w:val="single"/>
        </w:rPr>
        <w:t xml:space="preserve">      </w:t>
      </w:r>
    </w:p>
    <w:p>
      <w:pPr>
        <w:spacing w:line="360" w:lineRule="auto"/>
        <w:ind w:left="2198" w:leftChars="999" w:firstLine="959" w:firstLineChars="436"/>
        <w:rPr>
          <w:rFonts w:hint="eastAsia" w:ascii="宋体" w:hAnsi="宋体" w:cs="宋体"/>
          <w:color w:val="auto"/>
          <w:szCs w:val="22"/>
          <w:highlight w:val="none"/>
          <w:u w:val="single"/>
        </w:rPr>
      </w:pPr>
      <w:r>
        <w:rPr>
          <w:rFonts w:hint="eastAsia" w:ascii="宋体" w:hAnsi="宋体" w:cs="宋体"/>
          <w:color w:val="auto"/>
          <w:szCs w:val="22"/>
          <w:highlight w:val="none"/>
        </w:rPr>
        <w:t>详细通讯地址：</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 xml:space="preserve"> 邮政编码：</w:t>
      </w:r>
      <w:r>
        <w:rPr>
          <w:rFonts w:hint="eastAsia" w:ascii="宋体" w:hAnsi="宋体" w:cs="宋体"/>
          <w:color w:val="auto"/>
          <w:szCs w:val="22"/>
          <w:highlight w:val="none"/>
          <w:u w:val="single"/>
        </w:rPr>
        <w:t xml:space="preserve">           </w:t>
      </w:r>
    </w:p>
    <w:p>
      <w:pPr>
        <w:ind w:left="2198" w:leftChars="999" w:firstLine="959" w:firstLineChars="436"/>
        <w:rPr>
          <w:rFonts w:hint="eastAsia" w:ascii="宋体" w:hAnsi="宋体" w:cs="宋体"/>
          <w:color w:val="auto"/>
          <w:szCs w:val="22"/>
          <w:highlight w:val="none"/>
          <w:u w:val="single"/>
        </w:rPr>
      </w:pPr>
      <w:r>
        <w:rPr>
          <w:rFonts w:hint="eastAsia" w:ascii="宋体" w:hAnsi="宋体" w:cs="宋体"/>
          <w:color w:val="auto"/>
          <w:szCs w:val="22"/>
          <w:highlight w:val="none"/>
        </w:rPr>
        <w:t>电话：</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 xml:space="preserve"> 传真：</w:t>
      </w:r>
      <w:r>
        <w:rPr>
          <w:rFonts w:hint="eastAsia" w:ascii="宋体" w:hAnsi="宋体" w:cs="宋体"/>
          <w:color w:val="auto"/>
          <w:szCs w:val="22"/>
          <w:highlight w:val="none"/>
          <w:u w:val="single"/>
        </w:rPr>
        <w:t xml:space="preserve">                    </w:t>
      </w:r>
    </w:p>
    <w:p>
      <w:pPr>
        <w:ind w:left="2198" w:leftChars="999" w:firstLine="959" w:firstLineChars="436"/>
        <w:rPr>
          <w:rFonts w:hint="eastAsia" w:ascii="宋体" w:hAnsi="宋体" w:cs="宋体"/>
          <w:color w:val="auto"/>
          <w:szCs w:val="22"/>
          <w:highlight w:val="none"/>
        </w:rPr>
      </w:pPr>
      <w:r>
        <w:rPr>
          <w:rFonts w:hint="eastAsia" w:ascii="宋体" w:hAnsi="宋体" w:cs="宋体"/>
          <w:color w:val="auto"/>
          <w:szCs w:val="22"/>
          <w:highlight w:val="none"/>
        </w:rPr>
        <w:t xml:space="preserve">                                </w:t>
      </w:r>
    </w:p>
    <w:p>
      <w:pPr>
        <w:spacing w:line="360" w:lineRule="auto"/>
        <w:ind w:left="2198" w:leftChars="999" w:right="440" w:firstLine="959" w:firstLineChars="436"/>
        <w:rPr>
          <w:rFonts w:hint="eastAsia" w:ascii="宋体" w:hAnsi="宋体" w:cs="宋体"/>
          <w:color w:val="auto"/>
          <w:szCs w:val="22"/>
          <w:highlight w:val="none"/>
        </w:rPr>
      </w:pPr>
      <w:r>
        <w:rPr>
          <w:rFonts w:hint="eastAsia" w:ascii="宋体" w:hAnsi="宋体" w:cs="宋体"/>
          <w:color w:val="auto"/>
          <w:szCs w:val="22"/>
          <w:highlight w:val="none"/>
        </w:rPr>
        <w:t>供应商：</w:t>
      </w:r>
      <w:r>
        <w:rPr>
          <w:rFonts w:hint="eastAsia" w:ascii="宋体" w:hAnsi="宋体" w:cs="宋体"/>
          <w:color w:val="auto"/>
          <w:szCs w:val="22"/>
          <w:highlight w:val="none"/>
          <w:u w:val="single"/>
        </w:rPr>
        <w:t xml:space="preserve">                                   （盖章）</w:t>
      </w:r>
    </w:p>
    <w:p>
      <w:pPr>
        <w:spacing w:line="360" w:lineRule="auto"/>
        <w:ind w:left="2198" w:leftChars="999" w:right="440" w:firstLine="959" w:firstLineChars="436"/>
        <w:rPr>
          <w:rFonts w:hint="eastAsia" w:ascii="宋体" w:hAnsi="宋体" w:cs="宋体"/>
          <w:color w:val="auto"/>
          <w:szCs w:val="22"/>
          <w:highlight w:val="none"/>
        </w:rPr>
      </w:pPr>
      <w:r>
        <w:rPr>
          <w:rFonts w:hint="eastAsia" w:ascii="宋体" w:hAnsi="宋体" w:cs="宋体"/>
          <w:color w:val="auto"/>
          <w:szCs w:val="22"/>
          <w:highlight w:val="none"/>
        </w:rPr>
        <w:t>法定代表人：</w:t>
      </w:r>
      <w:r>
        <w:rPr>
          <w:rFonts w:hint="eastAsia" w:ascii="宋体" w:hAnsi="宋体" w:cs="宋体"/>
          <w:color w:val="auto"/>
          <w:szCs w:val="22"/>
          <w:highlight w:val="none"/>
          <w:u w:val="single"/>
        </w:rPr>
        <w:t xml:space="preserve">                           （签字或盖章）</w:t>
      </w:r>
    </w:p>
    <w:p>
      <w:pPr>
        <w:spacing w:line="360" w:lineRule="auto"/>
        <w:rPr>
          <w:rFonts w:hint="eastAsia" w:ascii="宋体" w:hAnsi="宋体" w:cs="宋体"/>
          <w:color w:val="auto"/>
          <w:szCs w:val="22"/>
          <w:highlight w:val="none"/>
        </w:rPr>
      </w:pPr>
    </w:p>
    <w:p>
      <w:pPr>
        <w:spacing w:line="360" w:lineRule="auto"/>
        <w:ind w:left="2198" w:leftChars="999" w:right="440" w:firstLine="959" w:firstLineChars="436"/>
        <w:rPr>
          <w:rFonts w:hint="eastAsia" w:ascii="宋体" w:hAnsi="宋体" w:cs="宋体"/>
          <w:color w:val="auto"/>
          <w:sz w:val="24"/>
          <w:highlight w:val="none"/>
        </w:rPr>
      </w:pPr>
      <w:r>
        <w:rPr>
          <w:rFonts w:hint="eastAsia" w:ascii="宋体" w:hAnsi="宋体" w:cs="宋体"/>
          <w:color w:val="auto"/>
          <w:szCs w:val="22"/>
          <w:highlight w:val="none"/>
        </w:rPr>
        <w:t>授权委托日期：</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 xml:space="preserve">年 </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月</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日</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8657" w:type="dxa"/>
            <w:noWrap w:val="0"/>
            <w:vAlign w:val="top"/>
          </w:tcPr>
          <w:p>
            <w:pPr>
              <w:pStyle w:val="24"/>
              <w:adjustRightInd w:val="0"/>
              <w:snapToGrid w:val="0"/>
              <w:spacing w:line="400" w:lineRule="exact"/>
              <w:jc w:val="center"/>
              <w:rPr>
                <w:rFonts w:hint="eastAsia" w:hAnsi="宋体" w:cs="宋体"/>
                <w:color w:val="auto"/>
                <w:sz w:val="24"/>
                <w:highlight w:val="none"/>
              </w:rPr>
            </w:pPr>
          </w:p>
          <w:p>
            <w:pPr>
              <w:pStyle w:val="24"/>
              <w:adjustRightInd w:val="0"/>
              <w:snapToGrid w:val="0"/>
              <w:spacing w:line="400" w:lineRule="exact"/>
              <w:jc w:val="center"/>
              <w:rPr>
                <w:rFonts w:hint="eastAsia" w:hAnsi="宋体" w:cs="宋体"/>
                <w:color w:val="auto"/>
                <w:sz w:val="24"/>
                <w:highlight w:val="none"/>
              </w:rPr>
            </w:pPr>
          </w:p>
          <w:p>
            <w:pPr>
              <w:pStyle w:val="24"/>
              <w:adjustRightInd w:val="0"/>
              <w:snapToGrid w:val="0"/>
              <w:spacing w:line="400" w:lineRule="exact"/>
              <w:jc w:val="center"/>
              <w:rPr>
                <w:rFonts w:hint="eastAsia" w:hAnsi="宋体" w:cs="宋体"/>
                <w:color w:val="auto"/>
                <w:sz w:val="24"/>
                <w:highlight w:val="none"/>
              </w:rPr>
            </w:pPr>
          </w:p>
          <w:p>
            <w:pPr>
              <w:pStyle w:val="24"/>
              <w:adjustRightInd w:val="0"/>
              <w:snapToGrid w:val="0"/>
              <w:spacing w:line="400" w:lineRule="exact"/>
              <w:jc w:val="center"/>
              <w:rPr>
                <w:rFonts w:hint="eastAsia" w:hAnsi="宋体" w:cs="宋体"/>
                <w:color w:val="auto"/>
                <w:sz w:val="24"/>
                <w:highlight w:val="none"/>
              </w:rPr>
            </w:pPr>
          </w:p>
          <w:p>
            <w:pPr>
              <w:pStyle w:val="24"/>
              <w:adjustRightInd w:val="0"/>
              <w:snapToGrid w:val="0"/>
              <w:spacing w:line="320" w:lineRule="atLeast"/>
              <w:jc w:val="center"/>
              <w:rPr>
                <w:rFonts w:hint="eastAsia" w:hAnsi="宋体" w:cs="宋体"/>
                <w:color w:val="auto"/>
                <w:sz w:val="22"/>
                <w:szCs w:val="22"/>
                <w:highlight w:val="none"/>
              </w:rPr>
            </w:pPr>
            <w:r>
              <w:rPr>
                <w:rFonts w:hint="eastAsia" w:hAnsi="宋体" w:cs="宋体"/>
                <w:color w:val="auto"/>
                <w:sz w:val="22"/>
                <w:szCs w:val="22"/>
                <w:highlight w:val="none"/>
              </w:rPr>
              <w:t>授权代表身份证复印件或影印件粘贴处</w:t>
            </w:r>
          </w:p>
          <w:p>
            <w:pPr>
              <w:pStyle w:val="24"/>
              <w:adjustRightInd w:val="0"/>
              <w:snapToGrid w:val="0"/>
              <w:spacing w:line="400" w:lineRule="exact"/>
              <w:jc w:val="center"/>
              <w:rPr>
                <w:rFonts w:hint="eastAsia" w:hAnsi="宋体" w:cs="宋体"/>
                <w:color w:val="auto"/>
                <w:sz w:val="24"/>
                <w:highlight w:val="none"/>
              </w:rPr>
            </w:pPr>
          </w:p>
          <w:p>
            <w:pPr>
              <w:pStyle w:val="24"/>
              <w:adjustRightInd w:val="0"/>
              <w:snapToGrid w:val="0"/>
              <w:spacing w:line="400" w:lineRule="exact"/>
              <w:jc w:val="center"/>
              <w:rPr>
                <w:rFonts w:hint="eastAsia" w:hAnsi="宋体" w:cs="宋体"/>
                <w:color w:val="auto"/>
                <w:sz w:val="24"/>
                <w:highlight w:val="none"/>
              </w:rPr>
            </w:pPr>
          </w:p>
          <w:p>
            <w:pPr>
              <w:pStyle w:val="24"/>
              <w:adjustRightInd w:val="0"/>
              <w:snapToGrid w:val="0"/>
              <w:spacing w:line="400" w:lineRule="exact"/>
              <w:rPr>
                <w:rFonts w:hint="eastAsia" w:hAnsi="宋体" w:cs="宋体"/>
                <w:color w:val="auto"/>
                <w:sz w:val="24"/>
                <w:highlight w:val="none"/>
              </w:rPr>
            </w:pPr>
          </w:p>
          <w:p>
            <w:pPr>
              <w:pStyle w:val="24"/>
              <w:adjustRightInd w:val="0"/>
              <w:snapToGrid w:val="0"/>
              <w:spacing w:line="400" w:lineRule="exact"/>
              <w:jc w:val="center"/>
              <w:rPr>
                <w:rFonts w:hint="eastAsia" w:hAnsi="宋体" w:cs="宋体"/>
                <w:color w:val="auto"/>
                <w:sz w:val="36"/>
                <w:highlight w:val="none"/>
              </w:rPr>
            </w:pPr>
          </w:p>
        </w:tc>
      </w:tr>
    </w:tbl>
    <w:p>
      <w:pPr>
        <w:pStyle w:val="24"/>
        <w:adjustRightInd w:val="0"/>
        <w:snapToGrid w:val="0"/>
        <w:spacing w:line="460" w:lineRule="atLeast"/>
        <w:rPr>
          <w:rFonts w:hint="eastAsia" w:hAnsi="宋体" w:cs="宋体"/>
          <w:b/>
          <w:color w:val="auto"/>
          <w:szCs w:val="22"/>
          <w:highlight w:val="none"/>
        </w:rPr>
      </w:pPr>
      <w:r>
        <w:rPr>
          <w:rFonts w:hint="eastAsia" w:hAnsi="宋体" w:cs="宋体"/>
          <w:b/>
          <w:color w:val="auto"/>
          <w:szCs w:val="22"/>
          <w:highlight w:val="none"/>
        </w:rPr>
        <w:t>注：法定代表人必须签字或盖章，否则做无效标处理。</w:t>
      </w:r>
    </w:p>
    <w:p>
      <w:pPr>
        <w:pStyle w:val="24"/>
        <w:adjustRightInd w:val="0"/>
        <w:snapToGrid w:val="0"/>
        <w:spacing w:line="460" w:lineRule="atLeast"/>
        <w:jc w:val="center"/>
        <w:rPr>
          <w:rFonts w:hint="eastAsia" w:hAnsi="宋体" w:cs="宋体"/>
          <w:color w:val="auto"/>
          <w:sz w:val="36"/>
          <w:highlight w:val="none"/>
        </w:rPr>
      </w:pPr>
    </w:p>
    <w:p>
      <w:pPr>
        <w:pStyle w:val="24"/>
        <w:adjustRightInd w:val="0"/>
        <w:snapToGrid w:val="0"/>
        <w:spacing w:line="460" w:lineRule="atLeast"/>
        <w:jc w:val="center"/>
        <w:rPr>
          <w:rFonts w:hint="eastAsia" w:hAnsi="宋体" w:cs="宋体"/>
          <w:color w:val="auto"/>
          <w:sz w:val="36"/>
          <w:highlight w:val="none"/>
        </w:rPr>
      </w:pPr>
    </w:p>
    <w:p>
      <w:pPr>
        <w:pStyle w:val="24"/>
        <w:adjustRightInd w:val="0"/>
        <w:snapToGrid w:val="0"/>
        <w:spacing w:line="460" w:lineRule="atLeast"/>
        <w:jc w:val="center"/>
        <w:rPr>
          <w:rFonts w:hint="eastAsia" w:hAnsi="宋体" w:cs="宋体"/>
          <w:color w:val="auto"/>
          <w:sz w:val="36"/>
          <w:highlight w:val="none"/>
        </w:rPr>
      </w:pPr>
      <w:r>
        <w:rPr>
          <w:rFonts w:hint="eastAsia" w:hAnsi="宋体" w:cs="宋体"/>
          <w:color w:val="auto"/>
          <w:sz w:val="36"/>
          <w:highlight w:val="none"/>
        </w:rPr>
        <w:t>（二）投 标 供 应 商 情 况 声  明</w:t>
      </w:r>
    </w:p>
    <w:p>
      <w:pPr>
        <w:spacing w:line="400" w:lineRule="exact"/>
        <w:ind w:left="438" w:leftChars="199"/>
        <w:rPr>
          <w:rFonts w:hint="eastAsia" w:ascii="宋体" w:hAnsi="宋体" w:cs="宋体"/>
          <w:color w:val="auto"/>
          <w:szCs w:val="22"/>
          <w:highlight w:val="none"/>
        </w:rPr>
      </w:pPr>
      <w:r>
        <w:rPr>
          <w:rFonts w:hint="eastAsia" w:ascii="宋体" w:hAnsi="宋体" w:cs="宋体"/>
          <w:color w:val="auto"/>
          <w:szCs w:val="22"/>
          <w:highlight w:val="none"/>
        </w:rPr>
        <w:t>1、名称及概况：</w:t>
      </w:r>
    </w:p>
    <w:p>
      <w:pPr>
        <w:spacing w:line="400" w:lineRule="exact"/>
        <w:ind w:firstLine="420" w:firstLineChars="191"/>
        <w:rPr>
          <w:rFonts w:hint="eastAsia" w:ascii="宋体" w:hAnsi="宋体" w:cs="宋体"/>
          <w:color w:val="auto"/>
          <w:szCs w:val="22"/>
          <w:highlight w:val="none"/>
        </w:rPr>
      </w:pPr>
      <w:r>
        <w:rPr>
          <w:rFonts w:hint="eastAsia" w:ascii="宋体" w:hAnsi="宋体" w:cs="宋体"/>
          <w:color w:val="auto"/>
          <w:szCs w:val="22"/>
          <w:highlight w:val="none"/>
        </w:rPr>
        <w:t>（1）投标供应商名称：</w:t>
      </w:r>
      <w:r>
        <w:rPr>
          <w:rFonts w:hint="eastAsia" w:ascii="宋体" w:hAnsi="宋体" w:cs="宋体"/>
          <w:color w:val="auto"/>
          <w:szCs w:val="22"/>
          <w:highlight w:val="none"/>
          <w:u w:val="single"/>
        </w:rPr>
        <w:t xml:space="preserve">                           </w:t>
      </w:r>
    </w:p>
    <w:p>
      <w:pPr>
        <w:spacing w:line="400" w:lineRule="exact"/>
        <w:ind w:firstLine="420" w:firstLineChars="191"/>
        <w:rPr>
          <w:rFonts w:hint="eastAsia" w:ascii="宋体" w:hAnsi="宋体" w:cs="宋体"/>
          <w:color w:val="auto"/>
          <w:szCs w:val="22"/>
          <w:highlight w:val="none"/>
        </w:rPr>
      </w:pPr>
      <w:r>
        <w:rPr>
          <w:rFonts w:hint="eastAsia" w:ascii="宋体" w:hAnsi="宋体" w:cs="宋体"/>
          <w:color w:val="auto"/>
          <w:szCs w:val="22"/>
          <w:highlight w:val="none"/>
        </w:rPr>
        <w:t>（2）总部地址：</w:t>
      </w:r>
      <w:r>
        <w:rPr>
          <w:rFonts w:hint="eastAsia" w:ascii="宋体" w:hAnsi="宋体" w:cs="宋体"/>
          <w:color w:val="auto"/>
          <w:szCs w:val="22"/>
          <w:highlight w:val="none"/>
          <w:u w:val="single"/>
        </w:rPr>
        <w:t xml:space="preserve">                             </w:t>
      </w:r>
    </w:p>
    <w:p>
      <w:pPr>
        <w:spacing w:line="400" w:lineRule="exact"/>
        <w:ind w:firstLine="985" w:firstLineChars="448"/>
        <w:rPr>
          <w:rFonts w:hint="eastAsia" w:ascii="宋体" w:hAnsi="宋体" w:cs="宋体"/>
          <w:color w:val="auto"/>
          <w:szCs w:val="22"/>
          <w:highlight w:val="none"/>
        </w:rPr>
      </w:pPr>
      <w:r>
        <w:rPr>
          <w:rFonts w:hint="eastAsia" w:ascii="宋体" w:hAnsi="宋体" w:cs="宋体"/>
          <w:color w:val="auto"/>
          <w:szCs w:val="22"/>
          <w:highlight w:val="none"/>
        </w:rPr>
        <w:t>传真/电话号码：</w:t>
      </w:r>
      <w:r>
        <w:rPr>
          <w:rFonts w:hint="eastAsia" w:ascii="宋体" w:hAnsi="宋体" w:cs="宋体"/>
          <w:color w:val="auto"/>
          <w:szCs w:val="22"/>
          <w:highlight w:val="none"/>
          <w:u w:val="single"/>
        </w:rPr>
        <w:t xml:space="preserve">                        </w:t>
      </w:r>
    </w:p>
    <w:p>
      <w:pPr>
        <w:spacing w:line="400" w:lineRule="exact"/>
        <w:ind w:firstLine="420" w:firstLineChars="191"/>
        <w:rPr>
          <w:rFonts w:hint="eastAsia" w:ascii="宋体" w:hAnsi="宋体" w:cs="宋体"/>
          <w:color w:val="auto"/>
          <w:szCs w:val="22"/>
          <w:highlight w:val="none"/>
        </w:rPr>
      </w:pPr>
      <w:r>
        <w:rPr>
          <w:rFonts w:hint="eastAsia" w:ascii="宋体" w:hAnsi="宋体" w:cs="宋体"/>
          <w:color w:val="auto"/>
          <w:szCs w:val="22"/>
          <w:highlight w:val="none"/>
        </w:rPr>
        <w:t>（3）成立或注册日期：</w:t>
      </w:r>
      <w:r>
        <w:rPr>
          <w:rFonts w:hint="eastAsia" w:ascii="宋体" w:hAnsi="宋体" w:cs="宋体"/>
          <w:color w:val="auto"/>
          <w:szCs w:val="22"/>
          <w:highlight w:val="none"/>
          <w:u w:val="single"/>
        </w:rPr>
        <w:t xml:space="preserve">                        </w:t>
      </w:r>
    </w:p>
    <w:p>
      <w:pPr>
        <w:spacing w:line="400" w:lineRule="exact"/>
        <w:ind w:firstLine="420" w:firstLineChars="191"/>
        <w:rPr>
          <w:rFonts w:hint="eastAsia" w:ascii="宋体" w:hAnsi="宋体" w:cs="宋体"/>
          <w:color w:val="auto"/>
          <w:szCs w:val="22"/>
          <w:highlight w:val="none"/>
        </w:rPr>
      </w:pPr>
      <w:r>
        <w:rPr>
          <w:rFonts w:hint="eastAsia" w:ascii="宋体" w:hAnsi="宋体" w:cs="宋体"/>
          <w:color w:val="auto"/>
          <w:szCs w:val="22"/>
          <w:highlight w:val="none"/>
        </w:rPr>
        <w:t>（4）实收资本：</w:t>
      </w:r>
      <w:r>
        <w:rPr>
          <w:rFonts w:hint="eastAsia" w:ascii="宋体" w:hAnsi="宋体" w:cs="宋体"/>
          <w:color w:val="auto"/>
          <w:szCs w:val="22"/>
          <w:highlight w:val="none"/>
          <w:u w:val="single"/>
        </w:rPr>
        <w:t xml:space="preserve">                              </w:t>
      </w:r>
    </w:p>
    <w:p>
      <w:pPr>
        <w:spacing w:line="400" w:lineRule="exact"/>
        <w:ind w:firstLine="420" w:firstLineChars="191"/>
        <w:rPr>
          <w:rFonts w:hint="eastAsia" w:ascii="宋体" w:hAnsi="宋体" w:cs="宋体"/>
          <w:color w:val="auto"/>
          <w:szCs w:val="22"/>
          <w:highlight w:val="none"/>
        </w:rPr>
      </w:pPr>
      <w:r>
        <w:rPr>
          <w:rFonts w:hint="eastAsia" w:ascii="宋体" w:hAnsi="宋体" w:cs="宋体"/>
          <w:color w:val="auto"/>
          <w:szCs w:val="22"/>
          <w:highlight w:val="none"/>
        </w:rPr>
        <w:t>（5）近期资产负债表（到</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年</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月</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日止）</w:t>
      </w:r>
    </w:p>
    <w:p>
      <w:pPr>
        <w:spacing w:line="400" w:lineRule="exact"/>
        <w:ind w:firstLine="420" w:firstLineChars="191"/>
        <w:rPr>
          <w:rFonts w:hint="eastAsia" w:ascii="宋体" w:hAnsi="宋体" w:cs="宋体"/>
          <w:color w:val="auto"/>
          <w:szCs w:val="22"/>
          <w:highlight w:val="none"/>
        </w:rPr>
      </w:pPr>
      <w:r>
        <w:rPr>
          <w:rFonts w:hint="eastAsia" w:ascii="宋体" w:hAnsi="宋体" w:cs="宋体"/>
          <w:color w:val="auto"/>
          <w:szCs w:val="22"/>
          <w:highlight w:val="none"/>
        </w:rPr>
        <w:t xml:space="preserve">  1）固定资产：</w:t>
      </w:r>
      <w:r>
        <w:rPr>
          <w:rFonts w:hint="eastAsia" w:ascii="宋体" w:hAnsi="宋体" w:cs="宋体"/>
          <w:color w:val="auto"/>
          <w:szCs w:val="22"/>
          <w:highlight w:val="none"/>
          <w:u w:val="single"/>
        </w:rPr>
        <w:t xml:space="preserve">               </w:t>
      </w:r>
    </w:p>
    <w:p>
      <w:pPr>
        <w:spacing w:line="400" w:lineRule="exact"/>
        <w:ind w:firstLine="420" w:firstLineChars="191"/>
        <w:rPr>
          <w:rFonts w:hint="eastAsia" w:ascii="宋体" w:hAnsi="宋体" w:cs="宋体"/>
          <w:color w:val="auto"/>
          <w:szCs w:val="22"/>
          <w:highlight w:val="none"/>
        </w:rPr>
      </w:pPr>
      <w:r>
        <w:rPr>
          <w:rFonts w:hint="eastAsia" w:ascii="宋体" w:hAnsi="宋体" w:cs="宋体"/>
          <w:color w:val="auto"/>
          <w:szCs w:val="22"/>
          <w:highlight w:val="none"/>
        </w:rPr>
        <w:t xml:space="preserve">  2）流动资产：</w:t>
      </w:r>
      <w:r>
        <w:rPr>
          <w:rFonts w:hint="eastAsia" w:ascii="宋体" w:hAnsi="宋体" w:cs="宋体"/>
          <w:color w:val="auto"/>
          <w:szCs w:val="22"/>
          <w:highlight w:val="none"/>
          <w:u w:val="single"/>
        </w:rPr>
        <w:t xml:space="preserve">               </w:t>
      </w:r>
    </w:p>
    <w:p>
      <w:pPr>
        <w:spacing w:line="400" w:lineRule="exact"/>
        <w:ind w:firstLine="420" w:firstLineChars="191"/>
        <w:rPr>
          <w:rFonts w:hint="eastAsia" w:ascii="宋体" w:hAnsi="宋体" w:cs="宋体"/>
          <w:color w:val="auto"/>
          <w:szCs w:val="22"/>
          <w:highlight w:val="none"/>
        </w:rPr>
      </w:pPr>
      <w:r>
        <w:rPr>
          <w:rFonts w:hint="eastAsia" w:ascii="宋体" w:hAnsi="宋体" w:cs="宋体"/>
          <w:color w:val="auto"/>
          <w:szCs w:val="22"/>
          <w:highlight w:val="none"/>
        </w:rPr>
        <w:t xml:space="preserve">  3）长期负债：</w:t>
      </w:r>
      <w:r>
        <w:rPr>
          <w:rFonts w:hint="eastAsia" w:ascii="宋体" w:hAnsi="宋体" w:cs="宋体"/>
          <w:color w:val="auto"/>
          <w:szCs w:val="22"/>
          <w:highlight w:val="none"/>
          <w:u w:val="single"/>
        </w:rPr>
        <w:t xml:space="preserve">               </w:t>
      </w:r>
    </w:p>
    <w:p>
      <w:pPr>
        <w:spacing w:line="400" w:lineRule="exact"/>
        <w:ind w:firstLine="420" w:firstLineChars="191"/>
        <w:rPr>
          <w:rFonts w:hint="eastAsia" w:ascii="宋体" w:hAnsi="宋体" w:cs="宋体"/>
          <w:color w:val="auto"/>
          <w:szCs w:val="22"/>
          <w:highlight w:val="none"/>
        </w:rPr>
      </w:pPr>
      <w:r>
        <w:rPr>
          <w:rFonts w:hint="eastAsia" w:ascii="宋体" w:hAnsi="宋体" w:cs="宋体"/>
          <w:color w:val="auto"/>
          <w:szCs w:val="22"/>
          <w:highlight w:val="none"/>
        </w:rPr>
        <w:t xml:space="preserve">  4）流动负债：</w:t>
      </w:r>
      <w:r>
        <w:rPr>
          <w:rFonts w:hint="eastAsia" w:ascii="宋体" w:hAnsi="宋体" w:cs="宋体"/>
          <w:color w:val="auto"/>
          <w:szCs w:val="22"/>
          <w:highlight w:val="none"/>
          <w:u w:val="single"/>
        </w:rPr>
        <w:t xml:space="preserve">               </w:t>
      </w:r>
    </w:p>
    <w:p>
      <w:pPr>
        <w:spacing w:line="400" w:lineRule="exact"/>
        <w:ind w:firstLine="420" w:firstLineChars="191"/>
        <w:rPr>
          <w:rFonts w:hint="eastAsia" w:ascii="宋体" w:hAnsi="宋体" w:cs="宋体"/>
          <w:color w:val="auto"/>
          <w:szCs w:val="22"/>
          <w:highlight w:val="none"/>
        </w:rPr>
      </w:pPr>
      <w:r>
        <w:rPr>
          <w:rFonts w:hint="eastAsia" w:ascii="宋体" w:hAnsi="宋体" w:cs="宋体"/>
          <w:color w:val="auto"/>
          <w:szCs w:val="22"/>
          <w:highlight w:val="none"/>
        </w:rPr>
        <w:t xml:space="preserve">  5）净值：</w:t>
      </w:r>
      <w:r>
        <w:rPr>
          <w:rFonts w:hint="eastAsia" w:ascii="宋体" w:hAnsi="宋体" w:cs="宋体"/>
          <w:color w:val="auto"/>
          <w:szCs w:val="22"/>
          <w:highlight w:val="none"/>
          <w:u w:val="single"/>
        </w:rPr>
        <w:t xml:space="preserve">                   </w:t>
      </w:r>
    </w:p>
    <w:p>
      <w:pPr>
        <w:spacing w:line="400" w:lineRule="exact"/>
        <w:ind w:firstLine="420" w:firstLineChars="191"/>
        <w:rPr>
          <w:rFonts w:hint="eastAsia" w:ascii="宋体" w:hAnsi="宋体" w:cs="宋体"/>
          <w:color w:val="auto"/>
          <w:szCs w:val="22"/>
          <w:highlight w:val="none"/>
          <w:u w:val="single"/>
        </w:rPr>
      </w:pPr>
      <w:r>
        <w:rPr>
          <w:rFonts w:hint="eastAsia" w:ascii="宋体" w:hAnsi="宋体" w:cs="宋体"/>
          <w:color w:val="auto"/>
          <w:szCs w:val="22"/>
          <w:highlight w:val="none"/>
        </w:rPr>
        <w:t>（6）主要负责人姓名：</w:t>
      </w:r>
      <w:r>
        <w:rPr>
          <w:rFonts w:hint="eastAsia" w:ascii="宋体" w:hAnsi="宋体" w:cs="宋体"/>
          <w:color w:val="auto"/>
          <w:szCs w:val="22"/>
          <w:highlight w:val="none"/>
          <w:u w:val="single"/>
        </w:rPr>
        <w:t xml:space="preserve">                      </w:t>
      </w:r>
    </w:p>
    <w:p>
      <w:pPr>
        <w:spacing w:line="360" w:lineRule="exact"/>
        <w:ind w:left="438" w:leftChars="199"/>
        <w:jc w:val="left"/>
        <w:rPr>
          <w:rFonts w:hint="eastAsia" w:ascii="宋体" w:hAnsi="宋体" w:cs="宋体"/>
          <w:color w:val="auto"/>
          <w:szCs w:val="22"/>
          <w:highlight w:val="none"/>
        </w:rPr>
      </w:pPr>
      <w:r>
        <w:rPr>
          <w:rFonts w:hint="eastAsia" w:ascii="宋体" w:hAnsi="宋体" w:cs="宋体"/>
          <w:color w:val="auto"/>
          <w:szCs w:val="22"/>
          <w:highlight w:val="none"/>
        </w:rPr>
        <w:t>2、企业生产设备及规模：</w:t>
      </w:r>
    </w:p>
    <w:p>
      <w:pPr>
        <w:spacing w:line="360" w:lineRule="exact"/>
        <w:ind w:left="660" w:hanging="660" w:hangingChars="300"/>
        <w:jc w:val="left"/>
        <w:rPr>
          <w:rFonts w:hint="eastAsia" w:ascii="宋体" w:hAnsi="宋体" w:cs="宋体"/>
          <w:color w:val="auto"/>
          <w:szCs w:val="22"/>
          <w:highlight w:val="none"/>
        </w:rPr>
      </w:pPr>
    </w:p>
    <w:p>
      <w:pPr>
        <w:spacing w:line="360" w:lineRule="exact"/>
        <w:ind w:left="677" w:leftChars="201" w:hanging="235" w:hangingChars="107"/>
        <w:jc w:val="left"/>
        <w:rPr>
          <w:rFonts w:hint="eastAsia" w:ascii="宋体" w:hAnsi="宋体" w:cs="宋体"/>
          <w:color w:val="auto"/>
          <w:szCs w:val="22"/>
          <w:highlight w:val="none"/>
        </w:rPr>
      </w:pPr>
      <w:r>
        <w:rPr>
          <w:rFonts w:hint="eastAsia" w:ascii="宋体" w:hAnsi="宋体" w:cs="宋体"/>
          <w:color w:val="auto"/>
          <w:szCs w:val="22"/>
          <w:highlight w:val="none"/>
        </w:rPr>
        <w:t>3、 企业人员情况：</w:t>
      </w:r>
    </w:p>
    <w:p>
      <w:pPr>
        <w:spacing w:line="400" w:lineRule="exact"/>
        <w:ind w:left="686" w:leftChars="312"/>
        <w:rPr>
          <w:rFonts w:hint="eastAsia" w:ascii="宋体" w:hAnsi="宋体" w:cs="宋体"/>
          <w:color w:val="auto"/>
          <w:szCs w:val="22"/>
          <w:highlight w:val="none"/>
        </w:rPr>
      </w:pPr>
      <w:r>
        <w:rPr>
          <w:rFonts w:hint="eastAsia" w:ascii="宋体" w:hAnsi="宋体" w:cs="宋体"/>
          <w:color w:val="auto"/>
          <w:szCs w:val="22"/>
          <w:highlight w:val="none"/>
        </w:rPr>
        <w:t>职工（在职）人数</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人，其中技术人员</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人；</w:t>
      </w:r>
    </w:p>
    <w:p>
      <w:pPr>
        <w:spacing w:line="360" w:lineRule="exact"/>
        <w:ind w:left="677" w:leftChars="201" w:hanging="235" w:hangingChars="107"/>
        <w:jc w:val="left"/>
        <w:rPr>
          <w:rFonts w:hint="eastAsia" w:ascii="宋体" w:hAnsi="宋体" w:cs="宋体"/>
          <w:color w:val="auto"/>
          <w:szCs w:val="22"/>
          <w:highlight w:val="none"/>
        </w:rPr>
      </w:pPr>
      <w:r>
        <w:rPr>
          <w:rFonts w:hint="eastAsia" w:ascii="宋体" w:hAnsi="宋体" w:cs="宋体"/>
          <w:color w:val="auto"/>
          <w:szCs w:val="22"/>
          <w:highlight w:val="none"/>
        </w:rPr>
        <w:t>4、近三年的年营业总额</w:t>
      </w:r>
      <w:r>
        <w:rPr>
          <w:rFonts w:hint="eastAsia" w:ascii="宋体" w:hAnsi="宋体" w:cs="宋体"/>
          <w:color w:val="auto"/>
          <w:szCs w:val="22"/>
          <w:highlight w:val="none"/>
          <w:u w:val="single"/>
        </w:rPr>
        <w:t xml:space="preserve">                       </w:t>
      </w:r>
    </w:p>
    <w:p>
      <w:pPr>
        <w:spacing w:line="360" w:lineRule="exact"/>
        <w:jc w:val="left"/>
        <w:rPr>
          <w:rFonts w:hint="eastAsia" w:ascii="宋体" w:hAnsi="宋体" w:cs="宋体"/>
          <w:b/>
          <w:color w:val="auto"/>
          <w:highlight w:val="none"/>
        </w:rPr>
      </w:pPr>
      <w:r>
        <w:rPr>
          <w:rFonts w:hint="eastAsia" w:ascii="宋体" w:hAnsi="宋体" w:cs="宋体"/>
          <w:b/>
          <w:color w:val="auto"/>
          <w:highlight w:val="none"/>
        </w:rPr>
        <w:t>供应商账户信息：</w:t>
      </w:r>
    </w:p>
    <w:p>
      <w:pPr>
        <w:spacing w:line="400" w:lineRule="exact"/>
        <w:rPr>
          <w:rFonts w:hint="eastAsia" w:ascii="宋体" w:hAnsi="宋体" w:cs="宋体"/>
          <w:color w:val="auto"/>
          <w:szCs w:val="22"/>
          <w:highlight w:val="none"/>
        </w:rPr>
      </w:pPr>
      <w:r>
        <w:rPr>
          <w:rFonts w:hint="eastAsia" w:ascii="宋体" w:hAnsi="宋体" w:cs="宋体"/>
          <w:b/>
          <w:color w:val="auto"/>
          <w:highlight w:val="none"/>
          <w:u w:val="single"/>
        </w:rPr>
        <w:t xml:space="preserve">开户名称：               ；开户银行：                   ；账号：               </w:t>
      </w:r>
      <w:r>
        <w:rPr>
          <w:rFonts w:hint="eastAsia" w:ascii="宋体" w:hAnsi="宋体" w:cs="宋体"/>
          <w:b/>
          <w:color w:val="auto"/>
          <w:highlight w:val="none"/>
          <w:u w:val="single"/>
        </w:rPr>
        <w:tab/>
      </w:r>
      <w:r>
        <w:rPr>
          <w:rFonts w:hint="eastAsia" w:ascii="宋体" w:hAnsi="宋体" w:cs="宋体"/>
          <w:b/>
          <w:color w:val="auto"/>
          <w:highlight w:val="none"/>
          <w:u w:val="single"/>
        </w:rPr>
        <w:t>。</w:t>
      </w:r>
    </w:p>
    <w:p>
      <w:pPr>
        <w:spacing w:line="400" w:lineRule="exact"/>
        <w:ind w:firstLine="420" w:firstLineChars="190"/>
        <w:rPr>
          <w:rFonts w:hint="eastAsia" w:ascii="宋体" w:hAnsi="宋体" w:cs="宋体"/>
          <w:b/>
          <w:color w:val="auto"/>
          <w:szCs w:val="22"/>
          <w:highlight w:val="none"/>
        </w:rPr>
      </w:pPr>
      <w:r>
        <w:rPr>
          <w:rFonts w:hint="eastAsia" w:ascii="宋体" w:hAnsi="宋体" w:cs="宋体"/>
          <w:b/>
          <w:color w:val="auto"/>
          <w:szCs w:val="22"/>
          <w:highlight w:val="none"/>
        </w:rPr>
        <w:t>兹证明上述声明是真实、正确的、并提供了全部能提供的资料和数据，我们同意遵照贵方要求出示有关证明文件。</w:t>
      </w:r>
    </w:p>
    <w:p>
      <w:pPr>
        <w:spacing w:line="400" w:lineRule="exact"/>
        <w:ind w:firstLine="420" w:firstLineChars="191"/>
        <w:rPr>
          <w:rFonts w:hint="eastAsia" w:ascii="宋体" w:hAnsi="宋体" w:cs="宋体"/>
          <w:color w:val="auto"/>
          <w:szCs w:val="22"/>
          <w:highlight w:val="none"/>
        </w:rPr>
      </w:pPr>
      <w:r>
        <w:rPr>
          <w:rFonts w:hint="eastAsia" w:ascii="宋体" w:hAnsi="宋体" w:cs="宋体"/>
          <w:color w:val="auto"/>
          <w:szCs w:val="22"/>
          <w:highlight w:val="none"/>
        </w:rPr>
        <w:t>供应商名称</w:t>
      </w:r>
      <w:r>
        <w:rPr>
          <w:rFonts w:hint="eastAsia" w:ascii="宋体" w:hAnsi="宋体" w:cs="宋体"/>
          <w:color w:val="auto"/>
          <w:szCs w:val="22"/>
          <w:highlight w:val="none"/>
          <w:u w:val="single"/>
        </w:rPr>
        <w:t xml:space="preserve">                               </w:t>
      </w:r>
    </w:p>
    <w:p>
      <w:pPr>
        <w:spacing w:line="400" w:lineRule="exact"/>
        <w:ind w:firstLine="420" w:firstLineChars="191"/>
        <w:rPr>
          <w:rFonts w:hint="eastAsia" w:ascii="宋体" w:hAnsi="宋体" w:cs="宋体"/>
          <w:color w:val="auto"/>
          <w:szCs w:val="22"/>
          <w:highlight w:val="none"/>
        </w:rPr>
      </w:pPr>
      <w:r>
        <w:rPr>
          <w:rFonts w:hint="eastAsia" w:ascii="宋体" w:hAnsi="宋体" w:cs="宋体"/>
          <w:color w:val="auto"/>
          <w:szCs w:val="22"/>
          <w:highlight w:val="none"/>
        </w:rPr>
        <w:t>法定代表人姓名</w:t>
      </w:r>
      <w:r>
        <w:rPr>
          <w:rFonts w:hint="eastAsia" w:ascii="宋体" w:hAnsi="宋体" w:cs="宋体"/>
          <w:color w:val="auto"/>
          <w:szCs w:val="22"/>
          <w:highlight w:val="none"/>
          <w:u w:val="single"/>
        </w:rPr>
        <w:t xml:space="preserve">                     </w:t>
      </w:r>
    </w:p>
    <w:p>
      <w:pPr>
        <w:spacing w:line="400" w:lineRule="exact"/>
        <w:ind w:firstLine="420" w:firstLineChars="191"/>
        <w:rPr>
          <w:rFonts w:hint="eastAsia" w:ascii="宋体" w:hAnsi="宋体" w:cs="宋体"/>
          <w:color w:val="auto"/>
          <w:szCs w:val="22"/>
          <w:highlight w:val="none"/>
        </w:rPr>
      </w:pPr>
      <w:r>
        <w:rPr>
          <w:rFonts w:hint="eastAsia" w:ascii="宋体" w:hAnsi="宋体" w:cs="宋体"/>
          <w:color w:val="auto"/>
          <w:szCs w:val="22"/>
          <w:highlight w:val="none"/>
          <w:lang w:val="zh-CN"/>
        </w:rPr>
        <w:t>法定代表人或授权代表</w:t>
      </w:r>
      <w:r>
        <w:rPr>
          <w:rFonts w:hint="eastAsia" w:ascii="宋体" w:hAnsi="宋体" w:cs="宋体"/>
          <w:bCs/>
          <w:color w:val="auto"/>
          <w:szCs w:val="22"/>
          <w:highlight w:val="none"/>
        </w:rPr>
        <w:t>（签字或盖章）</w:t>
      </w:r>
      <w:r>
        <w:rPr>
          <w:rFonts w:hint="eastAsia" w:ascii="宋体" w:hAnsi="宋体" w:cs="宋体"/>
          <w:color w:val="auto"/>
          <w:szCs w:val="22"/>
          <w:highlight w:val="none"/>
          <w:u w:val="single"/>
        </w:rPr>
        <w:t xml:space="preserve">                           </w:t>
      </w:r>
    </w:p>
    <w:p>
      <w:pPr>
        <w:spacing w:line="400" w:lineRule="exact"/>
        <w:ind w:firstLine="420" w:firstLineChars="191"/>
        <w:rPr>
          <w:rFonts w:hint="eastAsia" w:ascii="宋体" w:hAnsi="宋体" w:cs="宋体"/>
          <w:color w:val="auto"/>
          <w:szCs w:val="22"/>
          <w:highlight w:val="none"/>
        </w:rPr>
      </w:pPr>
      <w:r>
        <w:rPr>
          <w:rFonts w:hint="eastAsia" w:ascii="宋体" w:hAnsi="宋体" w:cs="宋体"/>
          <w:color w:val="auto"/>
          <w:szCs w:val="22"/>
          <w:highlight w:val="none"/>
        </w:rPr>
        <w:t>签字日期</w:t>
      </w:r>
      <w:r>
        <w:rPr>
          <w:rFonts w:hint="eastAsia" w:ascii="宋体" w:hAnsi="宋体" w:cs="宋体"/>
          <w:color w:val="auto"/>
          <w:szCs w:val="22"/>
          <w:highlight w:val="none"/>
          <w:u w:val="single"/>
        </w:rPr>
        <w:t xml:space="preserve">                                 </w:t>
      </w:r>
    </w:p>
    <w:p>
      <w:pPr>
        <w:spacing w:line="360" w:lineRule="exact"/>
        <w:ind w:firstLine="420" w:firstLineChars="191"/>
        <w:jc w:val="left"/>
        <w:rPr>
          <w:rFonts w:hint="eastAsia" w:ascii="宋体" w:hAnsi="宋体" w:cs="宋体"/>
          <w:color w:val="auto"/>
          <w:szCs w:val="22"/>
          <w:highlight w:val="none"/>
          <w:u w:val="single"/>
        </w:rPr>
      </w:pPr>
      <w:r>
        <w:rPr>
          <w:rFonts w:hint="eastAsia" w:ascii="宋体" w:hAnsi="宋体" w:cs="宋体"/>
          <w:color w:val="auto"/>
          <w:szCs w:val="22"/>
          <w:highlight w:val="none"/>
        </w:rPr>
        <w:t>电子邮件</w:t>
      </w:r>
      <w:r>
        <w:rPr>
          <w:rFonts w:hint="eastAsia" w:ascii="宋体" w:hAnsi="宋体" w:cs="宋体"/>
          <w:color w:val="auto"/>
          <w:szCs w:val="22"/>
          <w:highlight w:val="none"/>
          <w:u w:val="single"/>
        </w:rPr>
        <w:t xml:space="preserve">                                 </w:t>
      </w:r>
    </w:p>
    <w:p>
      <w:pPr>
        <w:spacing w:line="400" w:lineRule="exact"/>
        <w:ind w:left="440" w:leftChars="200"/>
        <w:rPr>
          <w:rFonts w:hint="eastAsia" w:ascii="宋体" w:hAnsi="宋体" w:cs="宋体"/>
          <w:b/>
          <w:color w:val="auto"/>
          <w:szCs w:val="22"/>
          <w:highlight w:val="none"/>
        </w:rPr>
      </w:pPr>
      <w:r>
        <w:rPr>
          <w:rFonts w:hint="eastAsia" w:ascii="宋体" w:hAnsi="宋体" w:cs="宋体"/>
          <w:b/>
          <w:color w:val="auto"/>
          <w:szCs w:val="22"/>
          <w:highlight w:val="none"/>
        </w:rPr>
        <w:t>5、投标供应商有效营业执照和税务登记证（复印件，加盖单位公章）</w:t>
      </w:r>
    </w:p>
    <w:p>
      <w:pPr>
        <w:spacing w:line="400" w:lineRule="exact"/>
        <w:ind w:firstLine="433" w:firstLineChars="196"/>
        <w:rPr>
          <w:rFonts w:hint="eastAsia" w:ascii="宋体" w:hAnsi="宋体" w:cs="宋体"/>
          <w:b/>
          <w:color w:val="auto"/>
          <w:szCs w:val="22"/>
          <w:highlight w:val="none"/>
        </w:rPr>
      </w:pPr>
      <w:r>
        <w:rPr>
          <w:rFonts w:hint="eastAsia" w:ascii="宋体" w:hAnsi="宋体" w:cs="宋体"/>
          <w:b/>
          <w:color w:val="auto"/>
          <w:szCs w:val="22"/>
          <w:highlight w:val="none"/>
        </w:rPr>
        <w:t xml:space="preserve">6、投标供应商资格资质证书（如涉及则提供，复印件加盖单位公章） </w:t>
      </w:r>
    </w:p>
    <w:p>
      <w:pPr>
        <w:spacing w:line="400" w:lineRule="exact"/>
        <w:ind w:firstLine="433" w:firstLineChars="196"/>
        <w:rPr>
          <w:rFonts w:hint="eastAsia" w:ascii="宋体" w:hAnsi="宋体" w:cs="宋体"/>
          <w:color w:val="auto"/>
          <w:szCs w:val="22"/>
          <w:highlight w:val="none"/>
        </w:rPr>
      </w:pPr>
      <w:r>
        <w:rPr>
          <w:rFonts w:hint="eastAsia" w:ascii="宋体" w:hAnsi="宋体" w:cs="宋体"/>
          <w:b/>
          <w:color w:val="auto"/>
          <w:szCs w:val="22"/>
          <w:highlight w:val="none"/>
        </w:rPr>
        <w:t>7、供应商提供供应商“信用中国”(</w:t>
      </w:r>
      <w:r>
        <w:rPr>
          <w:rFonts w:hint="eastAsia" w:ascii="宋体" w:hAnsi="宋体" w:cs="宋体"/>
          <w:b/>
          <w:color w:val="auto"/>
          <w:szCs w:val="22"/>
          <w:highlight w:val="none"/>
        </w:rPr>
        <w:fldChar w:fldCharType="begin"/>
      </w:r>
      <w:r>
        <w:rPr>
          <w:rFonts w:hint="eastAsia" w:ascii="宋体" w:hAnsi="宋体" w:cs="宋体"/>
          <w:b/>
          <w:color w:val="auto"/>
          <w:szCs w:val="22"/>
          <w:highlight w:val="none"/>
        </w:rPr>
        <w:instrText xml:space="preserve"> HYPERLINK "http://www.creditchina.gov.cn" </w:instrText>
      </w:r>
      <w:r>
        <w:rPr>
          <w:rFonts w:hint="eastAsia" w:ascii="宋体" w:hAnsi="宋体" w:cs="宋体"/>
          <w:b/>
          <w:color w:val="auto"/>
          <w:szCs w:val="22"/>
          <w:highlight w:val="none"/>
        </w:rPr>
        <w:fldChar w:fldCharType="separate"/>
      </w:r>
      <w:r>
        <w:rPr>
          <w:rFonts w:hint="eastAsia" w:ascii="宋体" w:hAnsi="宋体" w:cs="宋体"/>
          <w:b/>
          <w:color w:val="auto"/>
          <w:szCs w:val="22"/>
          <w:highlight w:val="none"/>
        </w:rPr>
        <w:t>www.creditchina.gov.cn</w:t>
      </w:r>
      <w:r>
        <w:rPr>
          <w:rFonts w:hint="eastAsia" w:ascii="宋体" w:hAnsi="宋体" w:cs="宋体"/>
          <w:b/>
          <w:color w:val="auto"/>
          <w:szCs w:val="22"/>
          <w:highlight w:val="none"/>
        </w:rPr>
        <w:fldChar w:fldCharType="end"/>
      </w:r>
      <w:r>
        <w:rPr>
          <w:rFonts w:hint="eastAsia" w:ascii="宋体" w:hAnsi="宋体" w:cs="宋体"/>
          <w:b/>
          <w:color w:val="auto"/>
          <w:szCs w:val="22"/>
          <w:highlight w:val="none"/>
        </w:rPr>
        <w:t>)、“中国政府采购网”（http://www.ccgp.gov.cn/）信用记录相关资料（招标公告发布之日至投标截止时间前）。</w:t>
      </w:r>
      <w:r>
        <w:rPr>
          <w:rFonts w:hint="eastAsia" w:ascii="宋体" w:hAnsi="宋体" w:cs="宋体"/>
          <w:color w:val="auto"/>
          <w:szCs w:val="22"/>
          <w:highlight w:val="none"/>
        </w:rPr>
        <w:t xml:space="preserve">                                            </w:t>
      </w:r>
    </w:p>
    <w:p>
      <w:pPr>
        <w:pStyle w:val="24"/>
        <w:spacing w:line="460" w:lineRule="atLeast"/>
        <w:rPr>
          <w:rFonts w:hint="eastAsia" w:hAnsi="宋体" w:cs="宋体"/>
          <w:color w:val="auto"/>
          <w:sz w:val="32"/>
          <w:highlight w:val="none"/>
        </w:rPr>
      </w:pPr>
    </w:p>
    <w:p>
      <w:pPr>
        <w:pStyle w:val="24"/>
        <w:spacing w:line="460" w:lineRule="atLeast"/>
        <w:rPr>
          <w:rFonts w:hint="eastAsia" w:hAnsi="宋体" w:cs="宋体"/>
          <w:color w:val="auto"/>
          <w:sz w:val="32"/>
          <w:highlight w:val="none"/>
        </w:rPr>
      </w:pPr>
    </w:p>
    <w:p>
      <w:pPr>
        <w:pStyle w:val="24"/>
        <w:spacing w:line="460" w:lineRule="atLeast"/>
        <w:rPr>
          <w:rFonts w:hint="eastAsia" w:hAnsi="宋体" w:cs="宋体"/>
          <w:color w:val="auto"/>
          <w:sz w:val="32"/>
          <w:highlight w:val="none"/>
        </w:rPr>
      </w:pPr>
    </w:p>
    <w:p>
      <w:pPr>
        <w:pStyle w:val="24"/>
        <w:spacing w:line="460" w:lineRule="atLeast"/>
        <w:rPr>
          <w:rFonts w:hint="eastAsia" w:hAnsi="宋体" w:cs="宋体"/>
          <w:color w:val="auto"/>
          <w:sz w:val="32"/>
          <w:highlight w:val="none"/>
        </w:rPr>
      </w:pPr>
    </w:p>
    <w:p>
      <w:pPr>
        <w:pStyle w:val="24"/>
        <w:spacing w:line="460" w:lineRule="atLeast"/>
        <w:rPr>
          <w:rFonts w:hint="eastAsia" w:hAnsi="宋体" w:cs="宋体"/>
          <w:b/>
          <w:color w:val="auto"/>
          <w:sz w:val="32"/>
          <w:highlight w:val="none"/>
        </w:rPr>
      </w:pPr>
      <w:r>
        <w:rPr>
          <w:rFonts w:hint="eastAsia" w:hAnsi="宋体" w:cs="宋体"/>
          <w:color w:val="auto"/>
          <w:sz w:val="32"/>
          <w:highlight w:val="none"/>
        </w:rPr>
        <w:t>附件五</w:t>
      </w:r>
    </w:p>
    <w:p>
      <w:pP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其他投标文件</w:t>
      </w:r>
    </w:p>
    <w:p>
      <w:pPr>
        <w:pStyle w:val="4"/>
        <w:rPr>
          <w:rFonts w:hint="eastAsia" w:ascii="宋体" w:hAnsi="宋体" w:eastAsia="宋体" w:cs="宋体"/>
          <w:color w:val="auto"/>
          <w:highlight w:val="none"/>
        </w:rPr>
      </w:pPr>
      <w:r>
        <w:rPr>
          <w:rFonts w:hint="eastAsia" w:ascii="宋体" w:hAnsi="宋体" w:eastAsia="宋体" w:cs="宋体"/>
          <w:color w:val="auto"/>
          <w:highlight w:val="none"/>
        </w:rPr>
        <w:t>附件六 随机备品备件、专用工具清单</w:t>
      </w:r>
    </w:p>
    <w:p>
      <w:pPr>
        <w:pStyle w:val="24"/>
        <w:adjustRightInd w:val="0"/>
        <w:snapToGrid w:val="0"/>
        <w:spacing w:line="440" w:lineRule="atLeast"/>
        <w:ind w:firstLine="1446" w:firstLineChars="400"/>
        <w:rPr>
          <w:rFonts w:hint="eastAsia" w:hAnsi="宋体" w:cs="宋体"/>
          <w:b/>
          <w:color w:val="auto"/>
          <w:sz w:val="36"/>
          <w:szCs w:val="36"/>
          <w:highlight w:val="none"/>
        </w:rPr>
      </w:pPr>
      <w:r>
        <w:rPr>
          <w:rFonts w:hint="eastAsia" w:hAnsi="宋体" w:cs="宋体"/>
          <w:b/>
          <w:color w:val="auto"/>
          <w:sz w:val="36"/>
          <w:szCs w:val="36"/>
          <w:highlight w:val="none"/>
        </w:rPr>
        <w:t>随机备品备件、专用工具清单(如有)</w:t>
      </w:r>
    </w:p>
    <w:p>
      <w:pPr>
        <w:pStyle w:val="24"/>
        <w:adjustRightInd w:val="0"/>
        <w:snapToGrid w:val="0"/>
        <w:spacing w:line="440" w:lineRule="atLeast"/>
        <w:rPr>
          <w:rFonts w:hint="eastAsia" w:hAnsi="宋体" w:cs="宋体"/>
          <w:b/>
          <w:color w:val="auto"/>
          <w:sz w:val="36"/>
          <w:szCs w:val="36"/>
          <w:highlight w:val="none"/>
        </w:rPr>
      </w:pPr>
    </w:p>
    <w:tbl>
      <w:tblPr>
        <w:tblStyle w:val="42"/>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562"/>
        <w:gridCol w:w="3231"/>
        <w:gridCol w:w="1103"/>
        <w:gridCol w:w="1219"/>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10" w:type="dxa"/>
            <w:noWrap w:val="0"/>
            <w:vAlign w:val="center"/>
          </w:tcPr>
          <w:p>
            <w:pPr>
              <w:pStyle w:val="24"/>
              <w:adjustRightInd w:val="0"/>
              <w:snapToGrid w:val="0"/>
              <w:spacing w:line="440" w:lineRule="atLeast"/>
              <w:jc w:val="left"/>
              <w:rPr>
                <w:rFonts w:hint="eastAsia" w:hAnsi="宋体" w:cs="宋体"/>
                <w:b/>
                <w:color w:val="auto"/>
                <w:sz w:val="24"/>
                <w:szCs w:val="24"/>
                <w:highlight w:val="none"/>
              </w:rPr>
            </w:pPr>
            <w:r>
              <w:rPr>
                <w:rFonts w:hint="eastAsia" w:hAnsi="宋体" w:cs="宋体"/>
                <w:b/>
                <w:color w:val="auto"/>
                <w:sz w:val="24"/>
                <w:szCs w:val="24"/>
                <w:highlight w:val="none"/>
              </w:rPr>
              <w:t>序号</w:t>
            </w:r>
          </w:p>
        </w:tc>
        <w:tc>
          <w:tcPr>
            <w:tcW w:w="1562" w:type="dxa"/>
            <w:noWrap w:val="0"/>
            <w:vAlign w:val="center"/>
          </w:tcPr>
          <w:p>
            <w:pPr>
              <w:pStyle w:val="24"/>
              <w:adjustRightInd w:val="0"/>
              <w:snapToGrid w:val="0"/>
              <w:spacing w:line="440" w:lineRule="atLeast"/>
              <w:jc w:val="center"/>
              <w:rPr>
                <w:rFonts w:hint="eastAsia" w:hAnsi="宋体" w:cs="宋体"/>
                <w:b/>
                <w:color w:val="auto"/>
                <w:sz w:val="24"/>
                <w:szCs w:val="24"/>
                <w:highlight w:val="none"/>
              </w:rPr>
            </w:pPr>
            <w:r>
              <w:rPr>
                <w:rFonts w:hint="eastAsia" w:hAnsi="宋体" w:cs="宋体"/>
                <w:b/>
                <w:color w:val="auto"/>
                <w:sz w:val="24"/>
                <w:szCs w:val="24"/>
                <w:highlight w:val="none"/>
              </w:rPr>
              <w:t>名称</w:t>
            </w:r>
          </w:p>
        </w:tc>
        <w:tc>
          <w:tcPr>
            <w:tcW w:w="3231" w:type="dxa"/>
            <w:noWrap w:val="0"/>
            <w:vAlign w:val="center"/>
          </w:tcPr>
          <w:p>
            <w:pPr>
              <w:pStyle w:val="24"/>
              <w:adjustRightInd w:val="0"/>
              <w:snapToGrid w:val="0"/>
              <w:spacing w:line="440" w:lineRule="atLeast"/>
              <w:jc w:val="center"/>
              <w:rPr>
                <w:rFonts w:hint="eastAsia" w:hAnsi="宋体" w:cs="宋体"/>
                <w:b/>
                <w:color w:val="auto"/>
                <w:sz w:val="24"/>
                <w:szCs w:val="24"/>
                <w:highlight w:val="none"/>
              </w:rPr>
            </w:pPr>
            <w:r>
              <w:rPr>
                <w:rFonts w:hint="eastAsia" w:hAnsi="宋体" w:cs="宋体"/>
                <w:b/>
                <w:color w:val="auto"/>
                <w:sz w:val="24"/>
                <w:szCs w:val="24"/>
                <w:highlight w:val="none"/>
              </w:rPr>
              <w:t>产地/规格/型号</w:t>
            </w:r>
          </w:p>
        </w:tc>
        <w:tc>
          <w:tcPr>
            <w:tcW w:w="1103" w:type="dxa"/>
            <w:noWrap w:val="0"/>
            <w:vAlign w:val="center"/>
          </w:tcPr>
          <w:p>
            <w:pPr>
              <w:pStyle w:val="24"/>
              <w:adjustRightInd w:val="0"/>
              <w:snapToGrid w:val="0"/>
              <w:spacing w:line="440" w:lineRule="atLeast"/>
              <w:jc w:val="center"/>
              <w:rPr>
                <w:rFonts w:hint="eastAsia" w:hAnsi="宋体" w:cs="宋体"/>
                <w:b/>
                <w:color w:val="auto"/>
                <w:sz w:val="24"/>
                <w:szCs w:val="24"/>
                <w:highlight w:val="none"/>
              </w:rPr>
            </w:pPr>
            <w:r>
              <w:rPr>
                <w:rFonts w:hint="eastAsia" w:hAnsi="宋体" w:cs="宋体"/>
                <w:b/>
                <w:color w:val="auto"/>
                <w:sz w:val="24"/>
                <w:szCs w:val="24"/>
                <w:highlight w:val="none"/>
              </w:rPr>
              <w:t>数量</w:t>
            </w:r>
          </w:p>
        </w:tc>
        <w:tc>
          <w:tcPr>
            <w:tcW w:w="1219" w:type="dxa"/>
            <w:noWrap w:val="0"/>
            <w:vAlign w:val="center"/>
          </w:tcPr>
          <w:p>
            <w:pPr>
              <w:pStyle w:val="24"/>
              <w:adjustRightInd w:val="0"/>
              <w:snapToGrid w:val="0"/>
              <w:spacing w:line="440" w:lineRule="atLeast"/>
              <w:jc w:val="center"/>
              <w:rPr>
                <w:rFonts w:hint="eastAsia" w:hAnsi="宋体" w:cs="宋体"/>
                <w:b/>
                <w:color w:val="auto"/>
                <w:sz w:val="24"/>
                <w:szCs w:val="24"/>
                <w:highlight w:val="none"/>
              </w:rPr>
            </w:pPr>
            <w:r>
              <w:rPr>
                <w:rFonts w:hint="eastAsia" w:hAnsi="宋体" w:cs="宋体"/>
                <w:b/>
                <w:color w:val="auto"/>
                <w:sz w:val="24"/>
                <w:szCs w:val="24"/>
                <w:highlight w:val="none"/>
              </w:rPr>
              <w:t>单价</w:t>
            </w:r>
          </w:p>
        </w:tc>
        <w:tc>
          <w:tcPr>
            <w:tcW w:w="1957" w:type="dxa"/>
            <w:noWrap w:val="0"/>
            <w:vAlign w:val="center"/>
          </w:tcPr>
          <w:p>
            <w:pPr>
              <w:pStyle w:val="24"/>
              <w:adjustRightInd w:val="0"/>
              <w:snapToGrid w:val="0"/>
              <w:spacing w:line="440" w:lineRule="atLeast"/>
              <w:jc w:val="center"/>
              <w:rPr>
                <w:rFonts w:hint="eastAsia" w:hAnsi="宋体" w:cs="宋体"/>
                <w:b/>
                <w:color w:val="auto"/>
                <w:sz w:val="24"/>
                <w:szCs w:val="24"/>
                <w:highlight w:val="none"/>
              </w:rPr>
            </w:pPr>
            <w:r>
              <w:rPr>
                <w:rFonts w:hint="eastAsia" w:hAnsi="宋体" w:cs="宋体"/>
                <w:b/>
                <w:color w:val="auto"/>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562"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3231"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103"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219"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957" w:type="dxa"/>
            <w:noWrap w:val="0"/>
            <w:vAlign w:val="top"/>
          </w:tcPr>
          <w:p>
            <w:pPr>
              <w:pStyle w:val="24"/>
              <w:adjustRightInd w:val="0"/>
              <w:snapToGrid w:val="0"/>
              <w:spacing w:line="440" w:lineRule="atLeast"/>
              <w:rPr>
                <w:rFonts w:hint="eastAsia"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562"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3231"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103"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219"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957" w:type="dxa"/>
            <w:noWrap w:val="0"/>
            <w:vAlign w:val="top"/>
          </w:tcPr>
          <w:p>
            <w:pPr>
              <w:pStyle w:val="24"/>
              <w:adjustRightInd w:val="0"/>
              <w:snapToGrid w:val="0"/>
              <w:spacing w:line="440" w:lineRule="atLeast"/>
              <w:rPr>
                <w:rFonts w:hint="eastAsia"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562"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3231"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103"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219"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957" w:type="dxa"/>
            <w:noWrap w:val="0"/>
            <w:vAlign w:val="top"/>
          </w:tcPr>
          <w:p>
            <w:pPr>
              <w:pStyle w:val="24"/>
              <w:adjustRightInd w:val="0"/>
              <w:snapToGrid w:val="0"/>
              <w:spacing w:line="440" w:lineRule="atLeast"/>
              <w:rPr>
                <w:rFonts w:hint="eastAsia"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562"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3231"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103"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219"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957" w:type="dxa"/>
            <w:noWrap w:val="0"/>
            <w:vAlign w:val="top"/>
          </w:tcPr>
          <w:p>
            <w:pPr>
              <w:pStyle w:val="24"/>
              <w:adjustRightInd w:val="0"/>
              <w:snapToGrid w:val="0"/>
              <w:spacing w:line="440" w:lineRule="atLeast"/>
              <w:rPr>
                <w:rFonts w:hint="eastAsia"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562"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3231"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103"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219"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957" w:type="dxa"/>
            <w:noWrap w:val="0"/>
            <w:vAlign w:val="top"/>
          </w:tcPr>
          <w:p>
            <w:pPr>
              <w:pStyle w:val="24"/>
              <w:adjustRightInd w:val="0"/>
              <w:snapToGrid w:val="0"/>
              <w:spacing w:line="440" w:lineRule="atLeast"/>
              <w:rPr>
                <w:rFonts w:hint="eastAsia"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562"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3231"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103"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219"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957" w:type="dxa"/>
            <w:noWrap w:val="0"/>
            <w:vAlign w:val="top"/>
          </w:tcPr>
          <w:p>
            <w:pPr>
              <w:pStyle w:val="24"/>
              <w:adjustRightInd w:val="0"/>
              <w:snapToGrid w:val="0"/>
              <w:spacing w:line="440" w:lineRule="atLeast"/>
              <w:rPr>
                <w:rFonts w:hint="eastAsia"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562"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3231"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103"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219"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957" w:type="dxa"/>
            <w:noWrap w:val="0"/>
            <w:vAlign w:val="top"/>
          </w:tcPr>
          <w:p>
            <w:pPr>
              <w:pStyle w:val="24"/>
              <w:adjustRightInd w:val="0"/>
              <w:snapToGrid w:val="0"/>
              <w:spacing w:line="440" w:lineRule="atLeast"/>
              <w:rPr>
                <w:rFonts w:hint="eastAsia"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562"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3231"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103"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219"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957" w:type="dxa"/>
            <w:noWrap w:val="0"/>
            <w:vAlign w:val="top"/>
          </w:tcPr>
          <w:p>
            <w:pPr>
              <w:pStyle w:val="24"/>
              <w:adjustRightInd w:val="0"/>
              <w:snapToGrid w:val="0"/>
              <w:spacing w:line="440" w:lineRule="atLeast"/>
              <w:rPr>
                <w:rFonts w:hint="eastAsia"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562"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3231"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103"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219"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957" w:type="dxa"/>
            <w:noWrap w:val="0"/>
            <w:vAlign w:val="top"/>
          </w:tcPr>
          <w:p>
            <w:pPr>
              <w:pStyle w:val="24"/>
              <w:adjustRightInd w:val="0"/>
              <w:snapToGrid w:val="0"/>
              <w:spacing w:line="440" w:lineRule="atLeast"/>
              <w:rPr>
                <w:rFonts w:hint="eastAsia"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562"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3231"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103"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219"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957" w:type="dxa"/>
            <w:noWrap w:val="0"/>
            <w:vAlign w:val="top"/>
          </w:tcPr>
          <w:p>
            <w:pPr>
              <w:pStyle w:val="24"/>
              <w:adjustRightInd w:val="0"/>
              <w:snapToGrid w:val="0"/>
              <w:spacing w:line="440" w:lineRule="atLeast"/>
              <w:rPr>
                <w:rFonts w:hint="eastAsia"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562"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3231"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103"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219"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957" w:type="dxa"/>
            <w:noWrap w:val="0"/>
            <w:vAlign w:val="top"/>
          </w:tcPr>
          <w:p>
            <w:pPr>
              <w:pStyle w:val="24"/>
              <w:adjustRightInd w:val="0"/>
              <w:snapToGrid w:val="0"/>
              <w:spacing w:line="440" w:lineRule="atLeast"/>
              <w:rPr>
                <w:rFonts w:hint="eastAsia"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562"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3231"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103"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219"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957" w:type="dxa"/>
            <w:noWrap w:val="0"/>
            <w:vAlign w:val="top"/>
          </w:tcPr>
          <w:p>
            <w:pPr>
              <w:pStyle w:val="24"/>
              <w:adjustRightInd w:val="0"/>
              <w:snapToGrid w:val="0"/>
              <w:spacing w:line="440" w:lineRule="atLeast"/>
              <w:rPr>
                <w:rFonts w:hint="eastAsia"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562"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3231"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103"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219"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957" w:type="dxa"/>
            <w:noWrap w:val="0"/>
            <w:vAlign w:val="top"/>
          </w:tcPr>
          <w:p>
            <w:pPr>
              <w:pStyle w:val="24"/>
              <w:adjustRightInd w:val="0"/>
              <w:snapToGrid w:val="0"/>
              <w:spacing w:line="440" w:lineRule="atLeast"/>
              <w:rPr>
                <w:rFonts w:hint="eastAsia"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562"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3231"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103"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219"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957" w:type="dxa"/>
            <w:noWrap w:val="0"/>
            <w:vAlign w:val="top"/>
          </w:tcPr>
          <w:p>
            <w:pPr>
              <w:pStyle w:val="24"/>
              <w:adjustRightInd w:val="0"/>
              <w:snapToGrid w:val="0"/>
              <w:spacing w:line="440" w:lineRule="atLeast"/>
              <w:rPr>
                <w:rFonts w:hint="eastAsia"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562"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3231"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103"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219"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957" w:type="dxa"/>
            <w:noWrap w:val="0"/>
            <w:vAlign w:val="top"/>
          </w:tcPr>
          <w:p>
            <w:pPr>
              <w:pStyle w:val="24"/>
              <w:adjustRightInd w:val="0"/>
              <w:snapToGrid w:val="0"/>
              <w:spacing w:line="440" w:lineRule="atLeast"/>
              <w:rPr>
                <w:rFonts w:hint="eastAsia"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562"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3231"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103"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219"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957" w:type="dxa"/>
            <w:noWrap w:val="0"/>
            <w:vAlign w:val="top"/>
          </w:tcPr>
          <w:p>
            <w:pPr>
              <w:pStyle w:val="24"/>
              <w:adjustRightInd w:val="0"/>
              <w:snapToGrid w:val="0"/>
              <w:spacing w:line="440" w:lineRule="atLeast"/>
              <w:rPr>
                <w:rFonts w:hint="eastAsia"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562"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3231"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103"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219" w:type="dxa"/>
            <w:noWrap w:val="0"/>
            <w:vAlign w:val="top"/>
          </w:tcPr>
          <w:p>
            <w:pPr>
              <w:pStyle w:val="24"/>
              <w:adjustRightInd w:val="0"/>
              <w:snapToGrid w:val="0"/>
              <w:spacing w:line="440" w:lineRule="atLeast"/>
              <w:rPr>
                <w:rFonts w:hint="eastAsia" w:hAnsi="宋体" w:cs="宋体"/>
                <w:b/>
                <w:color w:val="auto"/>
                <w:sz w:val="24"/>
                <w:szCs w:val="24"/>
                <w:highlight w:val="none"/>
              </w:rPr>
            </w:pPr>
          </w:p>
        </w:tc>
        <w:tc>
          <w:tcPr>
            <w:tcW w:w="1957" w:type="dxa"/>
            <w:noWrap w:val="0"/>
            <w:vAlign w:val="top"/>
          </w:tcPr>
          <w:p>
            <w:pPr>
              <w:pStyle w:val="24"/>
              <w:adjustRightInd w:val="0"/>
              <w:snapToGrid w:val="0"/>
              <w:spacing w:line="440" w:lineRule="atLeast"/>
              <w:rPr>
                <w:rFonts w:hint="eastAsia" w:hAnsi="宋体" w:cs="宋体"/>
                <w:b/>
                <w:color w:val="auto"/>
                <w:sz w:val="24"/>
                <w:szCs w:val="24"/>
                <w:highlight w:val="none"/>
              </w:rPr>
            </w:pPr>
          </w:p>
        </w:tc>
      </w:tr>
    </w:tbl>
    <w:p>
      <w:pPr>
        <w:pStyle w:val="24"/>
        <w:adjustRightInd w:val="0"/>
        <w:snapToGrid w:val="0"/>
        <w:spacing w:line="440" w:lineRule="atLeast"/>
        <w:rPr>
          <w:rFonts w:hint="eastAsia" w:hAnsi="宋体" w:cs="宋体"/>
          <w:b/>
          <w:color w:val="auto"/>
          <w:sz w:val="24"/>
          <w:highlight w:val="none"/>
        </w:rPr>
      </w:pPr>
    </w:p>
    <w:p>
      <w:pPr>
        <w:pStyle w:val="24"/>
        <w:adjustRightInd w:val="0"/>
        <w:snapToGrid w:val="0"/>
        <w:spacing w:line="440" w:lineRule="atLeast"/>
        <w:rPr>
          <w:rFonts w:hint="eastAsia" w:hAnsi="宋体" w:cs="宋体"/>
          <w:b/>
          <w:color w:val="auto"/>
          <w:sz w:val="24"/>
          <w:highlight w:val="none"/>
        </w:rPr>
      </w:pPr>
      <w:r>
        <w:rPr>
          <w:rFonts w:hint="eastAsia" w:hAnsi="宋体" w:cs="宋体"/>
          <w:b/>
          <w:color w:val="auto"/>
          <w:sz w:val="24"/>
          <w:highlight w:val="none"/>
        </w:rPr>
        <w:t xml:space="preserve">供应商全称（盖章）：           </w:t>
      </w:r>
    </w:p>
    <w:p>
      <w:pPr>
        <w:pStyle w:val="24"/>
        <w:spacing w:line="440" w:lineRule="atLeast"/>
        <w:rPr>
          <w:rFonts w:hint="eastAsia" w:hAnsi="宋体" w:cs="宋体"/>
          <w:b/>
          <w:color w:val="auto"/>
          <w:sz w:val="32"/>
          <w:highlight w:val="none"/>
        </w:rPr>
      </w:pPr>
    </w:p>
    <w:p>
      <w:pPr>
        <w:pStyle w:val="24"/>
        <w:spacing w:line="440" w:lineRule="atLeast"/>
        <w:rPr>
          <w:rFonts w:hint="eastAsia" w:hAnsi="宋体" w:cs="宋体"/>
          <w:b/>
          <w:color w:val="auto"/>
          <w:sz w:val="32"/>
          <w:highlight w:val="none"/>
        </w:rPr>
      </w:pPr>
    </w:p>
    <w:p>
      <w:pPr>
        <w:pStyle w:val="4"/>
        <w:rPr>
          <w:rFonts w:hint="eastAsia" w:ascii="宋体" w:hAnsi="宋体" w:eastAsia="宋体" w:cs="宋体"/>
          <w:color w:val="auto"/>
          <w:highlight w:val="none"/>
        </w:rPr>
      </w:pPr>
      <w:r>
        <w:rPr>
          <w:rFonts w:hint="eastAsia" w:ascii="宋体" w:hAnsi="宋体" w:eastAsia="宋体" w:cs="宋体"/>
          <w:color w:val="auto"/>
          <w:highlight w:val="none"/>
        </w:rPr>
        <w:t>附件七   产品零件、易损件、备品备件报价表</w:t>
      </w:r>
    </w:p>
    <w:p>
      <w:pPr>
        <w:pStyle w:val="24"/>
        <w:adjustRightInd w:val="0"/>
        <w:snapToGrid w:val="0"/>
        <w:spacing w:line="400" w:lineRule="exact"/>
        <w:ind w:firstLine="1440" w:firstLineChars="400"/>
        <w:rPr>
          <w:rFonts w:hint="eastAsia" w:hAnsi="宋体" w:cs="宋体"/>
          <w:color w:val="auto"/>
          <w:sz w:val="36"/>
          <w:szCs w:val="36"/>
          <w:highlight w:val="none"/>
        </w:rPr>
      </w:pPr>
      <w:r>
        <w:rPr>
          <w:rFonts w:hint="eastAsia" w:hAnsi="宋体" w:cs="宋体"/>
          <w:color w:val="auto"/>
          <w:sz w:val="36"/>
          <w:szCs w:val="36"/>
          <w:highlight w:val="none"/>
        </w:rPr>
        <w:t>产品零件、易损件、备品备件报价表</w:t>
      </w:r>
    </w:p>
    <w:p>
      <w:pPr>
        <w:pStyle w:val="24"/>
        <w:adjustRightInd w:val="0"/>
        <w:snapToGrid w:val="0"/>
        <w:spacing w:line="400" w:lineRule="exact"/>
        <w:ind w:firstLine="1440" w:firstLineChars="400"/>
        <w:rPr>
          <w:rFonts w:hint="eastAsia" w:hAnsi="宋体" w:cs="宋体"/>
          <w:color w:val="auto"/>
          <w:sz w:val="36"/>
          <w:szCs w:val="36"/>
          <w:highlight w:val="none"/>
        </w:rPr>
      </w:pPr>
    </w:p>
    <w:tbl>
      <w:tblPr>
        <w:tblStyle w:val="42"/>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642"/>
        <w:gridCol w:w="2604"/>
        <w:gridCol w:w="1136"/>
        <w:gridCol w:w="1149"/>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25" w:type="dxa"/>
            <w:noWrap w:val="0"/>
            <w:vAlign w:val="center"/>
          </w:tcPr>
          <w:p>
            <w:pPr>
              <w:pStyle w:val="24"/>
              <w:adjustRightInd w:val="0"/>
              <w:snapToGrid w:val="0"/>
              <w:spacing w:line="400" w:lineRule="exact"/>
              <w:jc w:val="center"/>
              <w:rPr>
                <w:rFonts w:hint="eastAsia" w:hAnsi="宋体" w:cs="宋体"/>
                <w:color w:val="auto"/>
                <w:sz w:val="22"/>
                <w:szCs w:val="22"/>
                <w:highlight w:val="none"/>
              </w:rPr>
            </w:pPr>
            <w:r>
              <w:rPr>
                <w:rFonts w:hint="eastAsia" w:hAnsi="宋体" w:cs="宋体"/>
                <w:color w:val="auto"/>
                <w:sz w:val="22"/>
                <w:szCs w:val="22"/>
                <w:highlight w:val="none"/>
              </w:rPr>
              <w:t>序号</w:t>
            </w:r>
          </w:p>
        </w:tc>
        <w:tc>
          <w:tcPr>
            <w:tcW w:w="2642" w:type="dxa"/>
            <w:noWrap w:val="0"/>
            <w:vAlign w:val="center"/>
          </w:tcPr>
          <w:p>
            <w:pPr>
              <w:pStyle w:val="24"/>
              <w:adjustRightInd w:val="0"/>
              <w:snapToGrid w:val="0"/>
              <w:spacing w:line="400" w:lineRule="exact"/>
              <w:jc w:val="center"/>
              <w:rPr>
                <w:rFonts w:hint="eastAsia" w:hAnsi="宋体" w:cs="宋体"/>
                <w:color w:val="auto"/>
                <w:sz w:val="22"/>
                <w:szCs w:val="22"/>
                <w:highlight w:val="none"/>
              </w:rPr>
            </w:pPr>
            <w:r>
              <w:rPr>
                <w:rFonts w:hint="eastAsia" w:hAnsi="宋体" w:cs="宋体"/>
                <w:color w:val="auto"/>
                <w:sz w:val="22"/>
                <w:szCs w:val="22"/>
                <w:highlight w:val="none"/>
              </w:rPr>
              <w:t>名称</w:t>
            </w:r>
          </w:p>
        </w:tc>
        <w:tc>
          <w:tcPr>
            <w:tcW w:w="2604" w:type="dxa"/>
            <w:noWrap w:val="0"/>
            <w:vAlign w:val="center"/>
          </w:tcPr>
          <w:p>
            <w:pPr>
              <w:pStyle w:val="24"/>
              <w:adjustRightInd w:val="0"/>
              <w:snapToGrid w:val="0"/>
              <w:spacing w:line="400" w:lineRule="exact"/>
              <w:jc w:val="center"/>
              <w:rPr>
                <w:rFonts w:hint="eastAsia" w:hAnsi="宋体" w:cs="宋体"/>
                <w:color w:val="auto"/>
                <w:sz w:val="22"/>
                <w:szCs w:val="22"/>
                <w:highlight w:val="none"/>
              </w:rPr>
            </w:pPr>
            <w:r>
              <w:rPr>
                <w:rFonts w:hint="eastAsia" w:hAnsi="宋体" w:cs="宋体"/>
                <w:color w:val="auto"/>
                <w:sz w:val="22"/>
                <w:szCs w:val="22"/>
                <w:highlight w:val="none"/>
              </w:rPr>
              <w:t>产地/规格/型号</w:t>
            </w:r>
          </w:p>
        </w:tc>
        <w:tc>
          <w:tcPr>
            <w:tcW w:w="1136" w:type="dxa"/>
            <w:noWrap w:val="0"/>
            <w:vAlign w:val="center"/>
          </w:tcPr>
          <w:p>
            <w:pPr>
              <w:pStyle w:val="24"/>
              <w:adjustRightInd w:val="0"/>
              <w:snapToGrid w:val="0"/>
              <w:spacing w:line="400" w:lineRule="exact"/>
              <w:jc w:val="center"/>
              <w:rPr>
                <w:rFonts w:hint="eastAsia" w:hAnsi="宋体" w:cs="宋体"/>
                <w:color w:val="auto"/>
                <w:sz w:val="22"/>
                <w:szCs w:val="22"/>
                <w:highlight w:val="none"/>
              </w:rPr>
            </w:pPr>
            <w:r>
              <w:rPr>
                <w:rFonts w:hint="eastAsia" w:hAnsi="宋体" w:cs="宋体"/>
                <w:color w:val="auto"/>
                <w:sz w:val="22"/>
                <w:szCs w:val="22"/>
                <w:highlight w:val="none"/>
              </w:rPr>
              <w:t>数量</w:t>
            </w:r>
          </w:p>
        </w:tc>
        <w:tc>
          <w:tcPr>
            <w:tcW w:w="1149" w:type="dxa"/>
            <w:noWrap w:val="0"/>
            <w:vAlign w:val="center"/>
          </w:tcPr>
          <w:p>
            <w:pPr>
              <w:pStyle w:val="24"/>
              <w:adjustRightInd w:val="0"/>
              <w:snapToGrid w:val="0"/>
              <w:spacing w:line="400" w:lineRule="exact"/>
              <w:jc w:val="center"/>
              <w:rPr>
                <w:rFonts w:hint="eastAsia" w:hAnsi="宋体" w:cs="宋体"/>
                <w:color w:val="auto"/>
                <w:sz w:val="22"/>
                <w:szCs w:val="22"/>
                <w:highlight w:val="none"/>
              </w:rPr>
            </w:pPr>
            <w:r>
              <w:rPr>
                <w:rFonts w:hint="eastAsia" w:hAnsi="宋体" w:cs="宋体"/>
                <w:color w:val="auto"/>
                <w:sz w:val="22"/>
                <w:szCs w:val="22"/>
                <w:highlight w:val="none"/>
              </w:rPr>
              <w:t>单价</w:t>
            </w:r>
          </w:p>
        </w:tc>
        <w:tc>
          <w:tcPr>
            <w:tcW w:w="2068" w:type="dxa"/>
            <w:noWrap w:val="0"/>
            <w:vAlign w:val="center"/>
          </w:tcPr>
          <w:p>
            <w:pPr>
              <w:pStyle w:val="24"/>
              <w:adjustRightInd w:val="0"/>
              <w:snapToGrid w:val="0"/>
              <w:spacing w:line="400" w:lineRule="exact"/>
              <w:jc w:val="center"/>
              <w:rPr>
                <w:rFonts w:hint="eastAsia" w:hAnsi="宋体" w:cs="宋体"/>
                <w:color w:val="auto"/>
                <w:sz w:val="22"/>
                <w:szCs w:val="22"/>
                <w:highlight w:val="none"/>
              </w:rPr>
            </w:pPr>
            <w:r>
              <w:rPr>
                <w:rFonts w:hint="eastAsia" w:hAnsi="宋体" w:cs="宋体"/>
                <w:color w:val="auto"/>
                <w:sz w:val="22"/>
                <w:szCs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42"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04"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36"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49"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068"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42"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04"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36"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49"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068"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42"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04"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36"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49"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068"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42"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04"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36"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49"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068"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42"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04"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36"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49"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068"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42"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04"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36"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49"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068"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42"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04"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36"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49"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068"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42"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04"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36"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49"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068"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42"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04"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36"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49"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068"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42"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04"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36"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49"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068"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42"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04"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36"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49"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068"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42"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604"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36"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1149"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c>
          <w:tcPr>
            <w:tcW w:w="2068" w:type="dxa"/>
            <w:noWrap w:val="0"/>
            <w:vAlign w:val="top"/>
          </w:tcPr>
          <w:p>
            <w:pPr>
              <w:pStyle w:val="24"/>
              <w:adjustRightInd w:val="0"/>
              <w:snapToGrid w:val="0"/>
              <w:spacing w:line="400" w:lineRule="exact"/>
              <w:jc w:val="center"/>
              <w:rPr>
                <w:rFonts w:hint="eastAsia"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Style w:val="24"/>
              <w:adjustRightInd w:val="0"/>
              <w:snapToGrid w:val="0"/>
              <w:spacing w:line="400" w:lineRule="exact"/>
              <w:rPr>
                <w:rFonts w:hint="eastAsia" w:hAnsi="宋体" w:cs="宋体"/>
                <w:color w:val="auto"/>
                <w:sz w:val="22"/>
                <w:szCs w:val="22"/>
                <w:highlight w:val="none"/>
              </w:rPr>
            </w:pPr>
          </w:p>
        </w:tc>
        <w:tc>
          <w:tcPr>
            <w:tcW w:w="2642" w:type="dxa"/>
            <w:noWrap w:val="0"/>
            <w:vAlign w:val="top"/>
          </w:tcPr>
          <w:p>
            <w:pPr>
              <w:pStyle w:val="24"/>
              <w:adjustRightInd w:val="0"/>
              <w:snapToGrid w:val="0"/>
              <w:spacing w:line="400" w:lineRule="exact"/>
              <w:rPr>
                <w:rFonts w:hint="eastAsia" w:hAnsi="宋体" w:cs="宋体"/>
                <w:color w:val="auto"/>
                <w:sz w:val="22"/>
                <w:szCs w:val="22"/>
                <w:highlight w:val="none"/>
              </w:rPr>
            </w:pPr>
          </w:p>
        </w:tc>
        <w:tc>
          <w:tcPr>
            <w:tcW w:w="2604" w:type="dxa"/>
            <w:noWrap w:val="0"/>
            <w:vAlign w:val="top"/>
          </w:tcPr>
          <w:p>
            <w:pPr>
              <w:pStyle w:val="24"/>
              <w:adjustRightInd w:val="0"/>
              <w:snapToGrid w:val="0"/>
              <w:spacing w:line="400" w:lineRule="exact"/>
              <w:rPr>
                <w:rFonts w:hint="eastAsia" w:hAnsi="宋体" w:cs="宋体"/>
                <w:color w:val="auto"/>
                <w:sz w:val="22"/>
                <w:szCs w:val="22"/>
                <w:highlight w:val="none"/>
              </w:rPr>
            </w:pPr>
          </w:p>
        </w:tc>
        <w:tc>
          <w:tcPr>
            <w:tcW w:w="1136" w:type="dxa"/>
            <w:noWrap w:val="0"/>
            <w:vAlign w:val="top"/>
          </w:tcPr>
          <w:p>
            <w:pPr>
              <w:pStyle w:val="24"/>
              <w:adjustRightInd w:val="0"/>
              <w:snapToGrid w:val="0"/>
              <w:spacing w:line="400" w:lineRule="exact"/>
              <w:rPr>
                <w:rFonts w:hint="eastAsia" w:hAnsi="宋体" w:cs="宋体"/>
                <w:color w:val="auto"/>
                <w:sz w:val="22"/>
                <w:szCs w:val="22"/>
                <w:highlight w:val="none"/>
              </w:rPr>
            </w:pPr>
          </w:p>
        </w:tc>
        <w:tc>
          <w:tcPr>
            <w:tcW w:w="1149" w:type="dxa"/>
            <w:noWrap w:val="0"/>
            <w:vAlign w:val="top"/>
          </w:tcPr>
          <w:p>
            <w:pPr>
              <w:pStyle w:val="24"/>
              <w:adjustRightInd w:val="0"/>
              <w:snapToGrid w:val="0"/>
              <w:spacing w:line="400" w:lineRule="exact"/>
              <w:rPr>
                <w:rFonts w:hint="eastAsia" w:hAnsi="宋体" w:cs="宋体"/>
                <w:color w:val="auto"/>
                <w:sz w:val="22"/>
                <w:szCs w:val="22"/>
                <w:highlight w:val="none"/>
              </w:rPr>
            </w:pPr>
          </w:p>
        </w:tc>
        <w:tc>
          <w:tcPr>
            <w:tcW w:w="2068" w:type="dxa"/>
            <w:noWrap w:val="0"/>
            <w:vAlign w:val="top"/>
          </w:tcPr>
          <w:p>
            <w:pPr>
              <w:pStyle w:val="24"/>
              <w:adjustRightInd w:val="0"/>
              <w:snapToGrid w:val="0"/>
              <w:spacing w:line="400" w:lineRule="exact"/>
              <w:rPr>
                <w:rFonts w:hint="eastAsia"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Style w:val="24"/>
              <w:adjustRightInd w:val="0"/>
              <w:snapToGrid w:val="0"/>
              <w:spacing w:line="400" w:lineRule="exact"/>
              <w:rPr>
                <w:rFonts w:hint="eastAsia" w:hAnsi="宋体" w:cs="宋体"/>
                <w:color w:val="auto"/>
                <w:sz w:val="22"/>
                <w:szCs w:val="22"/>
                <w:highlight w:val="none"/>
              </w:rPr>
            </w:pPr>
          </w:p>
        </w:tc>
        <w:tc>
          <w:tcPr>
            <w:tcW w:w="2642" w:type="dxa"/>
            <w:noWrap w:val="0"/>
            <w:vAlign w:val="top"/>
          </w:tcPr>
          <w:p>
            <w:pPr>
              <w:pStyle w:val="24"/>
              <w:adjustRightInd w:val="0"/>
              <w:snapToGrid w:val="0"/>
              <w:spacing w:line="400" w:lineRule="exact"/>
              <w:rPr>
                <w:rFonts w:hint="eastAsia" w:hAnsi="宋体" w:cs="宋体"/>
                <w:color w:val="auto"/>
                <w:sz w:val="22"/>
                <w:szCs w:val="22"/>
                <w:highlight w:val="none"/>
              </w:rPr>
            </w:pPr>
          </w:p>
        </w:tc>
        <w:tc>
          <w:tcPr>
            <w:tcW w:w="2604" w:type="dxa"/>
            <w:noWrap w:val="0"/>
            <w:vAlign w:val="top"/>
          </w:tcPr>
          <w:p>
            <w:pPr>
              <w:pStyle w:val="24"/>
              <w:adjustRightInd w:val="0"/>
              <w:snapToGrid w:val="0"/>
              <w:spacing w:line="400" w:lineRule="exact"/>
              <w:rPr>
                <w:rFonts w:hint="eastAsia" w:hAnsi="宋体" w:cs="宋体"/>
                <w:color w:val="auto"/>
                <w:sz w:val="22"/>
                <w:szCs w:val="22"/>
                <w:highlight w:val="none"/>
              </w:rPr>
            </w:pPr>
          </w:p>
        </w:tc>
        <w:tc>
          <w:tcPr>
            <w:tcW w:w="1136" w:type="dxa"/>
            <w:noWrap w:val="0"/>
            <w:vAlign w:val="top"/>
          </w:tcPr>
          <w:p>
            <w:pPr>
              <w:pStyle w:val="24"/>
              <w:adjustRightInd w:val="0"/>
              <w:snapToGrid w:val="0"/>
              <w:spacing w:line="400" w:lineRule="exact"/>
              <w:rPr>
                <w:rFonts w:hint="eastAsia" w:hAnsi="宋体" w:cs="宋体"/>
                <w:color w:val="auto"/>
                <w:sz w:val="22"/>
                <w:szCs w:val="22"/>
                <w:highlight w:val="none"/>
              </w:rPr>
            </w:pPr>
          </w:p>
        </w:tc>
        <w:tc>
          <w:tcPr>
            <w:tcW w:w="1149" w:type="dxa"/>
            <w:noWrap w:val="0"/>
            <w:vAlign w:val="top"/>
          </w:tcPr>
          <w:p>
            <w:pPr>
              <w:pStyle w:val="24"/>
              <w:adjustRightInd w:val="0"/>
              <w:snapToGrid w:val="0"/>
              <w:spacing w:line="400" w:lineRule="exact"/>
              <w:rPr>
                <w:rFonts w:hint="eastAsia" w:hAnsi="宋体" w:cs="宋体"/>
                <w:color w:val="auto"/>
                <w:sz w:val="22"/>
                <w:szCs w:val="22"/>
                <w:highlight w:val="none"/>
              </w:rPr>
            </w:pPr>
          </w:p>
        </w:tc>
        <w:tc>
          <w:tcPr>
            <w:tcW w:w="2068" w:type="dxa"/>
            <w:noWrap w:val="0"/>
            <w:vAlign w:val="top"/>
          </w:tcPr>
          <w:p>
            <w:pPr>
              <w:pStyle w:val="24"/>
              <w:adjustRightInd w:val="0"/>
              <w:snapToGrid w:val="0"/>
              <w:spacing w:line="400" w:lineRule="exact"/>
              <w:rPr>
                <w:rFonts w:hint="eastAsia" w:hAnsi="宋体" w:cs="宋体"/>
                <w:color w:val="auto"/>
                <w:sz w:val="22"/>
                <w:szCs w:val="22"/>
                <w:highlight w:val="none"/>
              </w:rPr>
            </w:pPr>
          </w:p>
        </w:tc>
      </w:tr>
    </w:tbl>
    <w:p>
      <w:pPr>
        <w:pStyle w:val="24"/>
        <w:adjustRightInd w:val="0"/>
        <w:snapToGrid w:val="0"/>
        <w:spacing w:line="400" w:lineRule="exact"/>
        <w:rPr>
          <w:rFonts w:hint="eastAsia" w:hAnsi="宋体" w:cs="宋体"/>
          <w:color w:val="auto"/>
          <w:sz w:val="24"/>
          <w:highlight w:val="none"/>
        </w:rPr>
      </w:pPr>
    </w:p>
    <w:p>
      <w:pPr>
        <w:pStyle w:val="24"/>
        <w:adjustRightInd w:val="0"/>
        <w:snapToGrid w:val="0"/>
        <w:spacing w:line="400" w:lineRule="exact"/>
        <w:rPr>
          <w:rFonts w:hint="eastAsia" w:hAnsi="宋体" w:cs="宋体"/>
          <w:color w:val="auto"/>
          <w:szCs w:val="22"/>
          <w:highlight w:val="none"/>
          <w:u w:val="single"/>
        </w:rPr>
      </w:pPr>
      <w:r>
        <w:rPr>
          <w:rFonts w:hint="eastAsia" w:hAnsi="宋体" w:cs="宋体"/>
          <w:color w:val="auto"/>
          <w:szCs w:val="22"/>
          <w:highlight w:val="none"/>
        </w:rPr>
        <w:t>供应商盖章</w:t>
      </w:r>
      <w:r>
        <w:rPr>
          <w:rFonts w:hint="eastAsia" w:hAnsi="宋体" w:cs="宋体"/>
          <w:color w:val="auto"/>
          <w:szCs w:val="22"/>
          <w:highlight w:val="none"/>
          <w:u w:val="single"/>
        </w:rPr>
        <w:t xml:space="preserve">：           </w:t>
      </w:r>
    </w:p>
    <w:p>
      <w:pPr>
        <w:rPr>
          <w:rFonts w:hint="eastAsia" w:ascii="宋体" w:hAnsi="宋体" w:cs="宋体"/>
          <w:b/>
          <w:color w:val="auto"/>
          <w:sz w:val="32"/>
          <w:szCs w:val="32"/>
          <w:highlight w:val="none"/>
        </w:rPr>
      </w:pPr>
      <w:r>
        <w:rPr>
          <w:rFonts w:hint="eastAsia" w:ascii="宋体" w:hAnsi="宋体" w:cs="宋体"/>
          <w:color w:val="auto"/>
          <w:szCs w:val="22"/>
          <w:highlight w:val="none"/>
        </w:rPr>
        <w:t>本表为质保期满后供设备使用两年的必备的零件，易损件，专用工具的报价表。由投标商填写，费用不包括在投标总价中，也作为质保期满后采购人选购零件，易损件，专用工具的价格依据。</w:t>
      </w:r>
    </w:p>
    <w:p>
      <w:pPr>
        <w:rPr>
          <w:rFonts w:hint="eastAsia" w:ascii="宋体" w:hAnsi="宋体" w:cs="宋体"/>
          <w:color w:val="auto"/>
          <w:highlight w:val="none"/>
        </w:rPr>
      </w:pPr>
      <w:r>
        <w:rPr>
          <w:rFonts w:hint="eastAsia" w:ascii="宋体" w:hAnsi="宋体" w:cs="宋体"/>
          <w:color w:val="auto"/>
          <w:highlight w:val="none"/>
        </w:rPr>
        <w:t xml:space="preserve">     </w:t>
      </w:r>
    </w:p>
    <w:p>
      <w:pPr>
        <w:rPr>
          <w:rFonts w:hint="eastAsia" w:ascii="宋体" w:hAnsi="宋体" w:cs="宋体"/>
          <w:color w:val="auto"/>
          <w:sz w:val="36"/>
          <w:szCs w:val="36"/>
          <w:highlight w:val="none"/>
        </w:rPr>
      </w:pPr>
    </w:p>
    <w:p>
      <w:pPr>
        <w:rPr>
          <w:rFonts w:hint="eastAsia" w:ascii="宋体" w:hAnsi="宋体" w:cs="宋体"/>
          <w:color w:val="auto"/>
          <w:sz w:val="36"/>
          <w:szCs w:val="36"/>
          <w:highlight w:val="none"/>
        </w:rPr>
      </w:pPr>
    </w:p>
    <w:p>
      <w:pPr>
        <w:rPr>
          <w:rFonts w:hint="eastAsia" w:ascii="宋体" w:hAnsi="宋体" w:cs="宋体"/>
          <w:color w:val="auto"/>
          <w:sz w:val="36"/>
          <w:szCs w:val="36"/>
          <w:highlight w:val="none"/>
        </w:rPr>
      </w:pPr>
    </w:p>
    <w:p>
      <w:pPr>
        <w:rPr>
          <w:rFonts w:hint="eastAsia" w:ascii="宋体" w:hAnsi="宋体" w:cs="宋体"/>
          <w:color w:val="auto"/>
          <w:sz w:val="36"/>
          <w:szCs w:val="36"/>
          <w:highlight w:val="none"/>
        </w:rPr>
      </w:pPr>
    </w:p>
    <w:p>
      <w:pPr>
        <w:rPr>
          <w:rFonts w:hint="eastAsia" w:ascii="宋体" w:hAnsi="宋体" w:cs="宋体"/>
          <w:color w:val="auto"/>
          <w:sz w:val="36"/>
          <w:szCs w:val="36"/>
          <w:highlight w:val="none"/>
        </w:rPr>
      </w:pPr>
    </w:p>
    <w:p>
      <w:pPr>
        <w:rPr>
          <w:rFonts w:hint="eastAsia" w:ascii="宋体" w:hAnsi="宋体" w:cs="宋体"/>
          <w:color w:val="auto"/>
          <w:sz w:val="36"/>
          <w:szCs w:val="36"/>
          <w:highlight w:val="none"/>
        </w:rPr>
      </w:pPr>
    </w:p>
    <w:p>
      <w:pPr>
        <w:rPr>
          <w:rFonts w:hint="eastAsia" w:ascii="宋体" w:hAnsi="宋体" w:cs="宋体"/>
          <w:color w:val="auto"/>
          <w:sz w:val="36"/>
          <w:szCs w:val="36"/>
          <w:highlight w:val="none"/>
        </w:rPr>
      </w:pPr>
    </w:p>
    <w:p>
      <w:pPr>
        <w:rPr>
          <w:rFonts w:hint="eastAsia" w:ascii="宋体" w:hAnsi="宋体" w:cs="宋体"/>
          <w:color w:val="auto"/>
          <w:sz w:val="36"/>
          <w:szCs w:val="36"/>
          <w:highlight w:val="none"/>
        </w:rPr>
      </w:pPr>
    </w:p>
    <w:p>
      <w:pPr>
        <w:pStyle w:val="4"/>
        <w:rPr>
          <w:rFonts w:hint="eastAsia" w:ascii="宋体" w:hAnsi="宋体" w:eastAsia="宋体" w:cs="宋体"/>
          <w:color w:val="auto"/>
          <w:highlight w:val="none"/>
        </w:rPr>
      </w:pPr>
      <w:r>
        <w:rPr>
          <w:rFonts w:hint="eastAsia" w:ascii="宋体" w:hAnsi="宋体" w:eastAsia="宋体" w:cs="宋体"/>
          <w:color w:val="auto"/>
          <w:highlight w:val="none"/>
        </w:rPr>
        <w:t>附件八  业绩</w:t>
      </w:r>
    </w:p>
    <w:p>
      <w:pPr>
        <w:pStyle w:val="24"/>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提供201</w:t>
      </w:r>
      <w:r>
        <w:rPr>
          <w:rFonts w:hint="eastAsia" w:hAnsi="宋体" w:cs="宋体"/>
          <w:color w:val="auto"/>
          <w:sz w:val="36"/>
          <w:szCs w:val="36"/>
          <w:highlight w:val="none"/>
          <w:lang w:val="en-US" w:eastAsia="zh-CN"/>
        </w:rPr>
        <w:t>8</w:t>
      </w:r>
      <w:r>
        <w:rPr>
          <w:rFonts w:hint="eastAsia" w:hAnsi="宋体" w:cs="宋体"/>
          <w:color w:val="auto"/>
          <w:sz w:val="36"/>
          <w:szCs w:val="36"/>
          <w:highlight w:val="none"/>
        </w:rPr>
        <w:t>年1月1日以来同类项目业绩</w:t>
      </w:r>
    </w:p>
    <w:p>
      <w:pPr>
        <w:autoSpaceDE w:val="0"/>
        <w:autoSpaceDN w:val="0"/>
        <w:adjustRightInd w:val="0"/>
        <w:snapToGrid w:val="0"/>
        <w:spacing w:line="360" w:lineRule="atLeast"/>
        <w:jc w:val="center"/>
        <w:textAlignment w:val="bottom"/>
        <w:rPr>
          <w:rFonts w:hint="eastAsia" w:ascii="宋体" w:hAnsi="宋体" w:cs="宋体"/>
          <w:b/>
          <w:color w:val="auto"/>
          <w:sz w:val="24"/>
          <w:highlight w:val="none"/>
        </w:rPr>
      </w:pPr>
      <w:r>
        <w:rPr>
          <w:rFonts w:hint="eastAsia" w:ascii="宋体" w:hAnsi="宋体" w:cs="宋体"/>
          <w:color w:val="auto"/>
          <w:szCs w:val="22"/>
          <w:highlight w:val="none"/>
        </w:rPr>
        <w:t>（自行编制）</w:t>
      </w:r>
    </w:p>
    <w:p>
      <w:pPr>
        <w:autoSpaceDE w:val="0"/>
        <w:autoSpaceDN w:val="0"/>
        <w:adjustRightInd w:val="0"/>
        <w:spacing w:line="460" w:lineRule="atLeast"/>
        <w:rPr>
          <w:b/>
          <w:color w:val="auto"/>
          <w:sz w:val="30"/>
          <w:szCs w:val="30"/>
          <w:highlight w:val="none"/>
          <w:lang w:val="zh-CN"/>
        </w:rPr>
      </w:pPr>
      <w:r>
        <w:rPr>
          <w:rFonts w:hint="eastAsia"/>
          <w:b/>
          <w:color w:val="auto"/>
          <w:sz w:val="30"/>
          <w:szCs w:val="30"/>
          <w:highlight w:val="none"/>
        </w:rPr>
        <w:t xml:space="preserve">附件九 </w:t>
      </w:r>
      <w:r>
        <w:rPr>
          <w:rFonts w:hint="eastAsia"/>
          <w:b/>
          <w:color w:val="auto"/>
          <w:sz w:val="30"/>
          <w:szCs w:val="30"/>
          <w:highlight w:val="none"/>
          <w:lang w:val="zh-CN"/>
        </w:rPr>
        <w:t xml:space="preserve">       </w:t>
      </w:r>
    </w:p>
    <w:p>
      <w:pPr>
        <w:autoSpaceDE w:val="0"/>
        <w:autoSpaceDN w:val="0"/>
        <w:adjustRightInd w:val="0"/>
        <w:spacing w:line="460" w:lineRule="atLeast"/>
        <w:jc w:val="center"/>
        <w:rPr>
          <w:rFonts w:hint="eastAsia"/>
          <w:color w:val="auto"/>
          <w:sz w:val="36"/>
          <w:highlight w:val="none"/>
          <w:lang w:val="zh-CN"/>
        </w:rPr>
      </w:pPr>
      <w:r>
        <w:rPr>
          <w:rFonts w:hint="eastAsia"/>
          <w:color w:val="auto"/>
          <w:sz w:val="36"/>
          <w:highlight w:val="none"/>
          <w:lang w:val="zh-CN"/>
        </w:rPr>
        <w:t>节能环保产品声明函</w:t>
      </w:r>
    </w:p>
    <w:p>
      <w:pPr>
        <w:autoSpaceDE w:val="0"/>
        <w:autoSpaceDN w:val="0"/>
        <w:adjustRightInd w:val="0"/>
        <w:spacing w:line="460" w:lineRule="atLeast"/>
        <w:jc w:val="center"/>
        <w:rPr>
          <w:color w:val="auto"/>
          <w:sz w:val="36"/>
          <w:highlight w:val="none"/>
          <w:lang w:val="zh-CN"/>
        </w:rPr>
      </w:pPr>
      <w:r>
        <w:rPr>
          <w:rFonts w:hint="eastAsia"/>
          <w:color w:val="auto"/>
          <w:szCs w:val="22"/>
          <w:highlight w:val="none"/>
        </w:rPr>
        <w:t>(如有则提供)</w:t>
      </w:r>
    </w:p>
    <w:p>
      <w:pPr>
        <w:rPr>
          <w:color w:val="auto"/>
          <w:sz w:val="28"/>
          <w:szCs w:val="28"/>
          <w:highlight w:val="none"/>
        </w:rPr>
      </w:pPr>
    </w:p>
    <w:p>
      <w:pPr>
        <w:spacing w:line="460" w:lineRule="atLeast"/>
        <w:ind w:firstLine="440" w:firstLineChars="200"/>
        <w:rPr>
          <w:color w:val="auto"/>
          <w:szCs w:val="22"/>
          <w:highlight w:val="none"/>
        </w:rPr>
      </w:pPr>
      <w:r>
        <w:rPr>
          <w:rFonts w:hint="eastAsia"/>
          <w:color w:val="auto"/>
          <w:szCs w:val="22"/>
          <w:highlight w:val="none"/>
        </w:rPr>
        <w:t>本公司郑重声明，根据《节能产品政府采购实施意见》（财库〔2004〕185号，不含该期清单）、《关于环境标志产品政府采购实施的意见》（财库〔2006〕90号，不含该期清单）的规定，本公司同时满足以下条件：</w:t>
      </w:r>
    </w:p>
    <w:p>
      <w:pPr>
        <w:spacing w:line="460" w:lineRule="atLeast"/>
        <w:ind w:firstLine="440" w:firstLineChars="200"/>
        <w:rPr>
          <w:color w:val="auto"/>
          <w:szCs w:val="22"/>
          <w:highlight w:val="none"/>
        </w:rPr>
      </w:pPr>
      <w:r>
        <w:rPr>
          <w:rFonts w:hint="eastAsia"/>
          <w:color w:val="auto"/>
          <w:szCs w:val="22"/>
          <w:highlight w:val="none"/>
        </w:rPr>
        <w:t>1. 此次采购项目中本公司所列节能或环保产品均已录入财政部、环境保护部公布的“环境标志产品政府采购清单”</w:t>
      </w:r>
      <w:r>
        <w:rPr>
          <w:rFonts w:hint="eastAsia"/>
          <w:color w:val="auto"/>
          <w:highlight w:val="none"/>
        </w:rPr>
        <w:t xml:space="preserve"> </w:t>
      </w:r>
      <w:r>
        <w:rPr>
          <w:rFonts w:hint="eastAsia"/>
          <w:color w:val="auto"/>
          <w:szCs w:val="22"/>
          <w:highlight w:val="none"/>
        </w:rPr>
        <w:t>（第二十一期或第二十二期（公告清单））或财政部、发展改革委公布的“节能产品政府采购清单” （第二十三期或第二十四期（公告清单））。</w:t>
      </w:r>
    </w:p>
    <w:p>
      <w:pPr>
        <w:spacing w:line="460" w:lineRule="atLeast"/>
        <w:ind w:firstLine="440" w:firstLineChars="200"/>
        <w:rPr>
          <w:color w:val="auto"/>
          <w:szCs w:val="22"/>
          <w:highlight w:val="none"/>
        </w:rPr>
      </w:pPr>
      <w:r>
        <w:rPr>
          <w:rFonts w:hint="eastAsia"/>
          <w:color w:val="auto"/>
          <w:szCs w:val="22"/>
          <w:highlight w:val="none"/>
        </w:rPr>
        <w:t>2.本公司参加</w:t>
      </w:r>
      <w:r>
        <w:rPr>
          <w:rFonts w:hint="eastAsia"/>
          <w:color w:val="auto"/>
          <w:szCs w:val="22"/>
          <w:highlight w:val="none"/>
          <w:u w:val="single"/>
        </w:rPr>
        <w:t>（招标项目名称，招标编号）</w:t>
      </w:r>
      <w:r>
        <w:rPr>
          <w:rFonts w:hint="eastAsia"/>
          <w:color w:val="auto"/>
          <w:szCs w:val="22"/>
          <w:highlight w:val="none"/>
        </w:rPr>
        <w:t>的采购活动提供的</w:t>
      </w:r>
      <w:r>
        <w:rPr>
          <w:rFonts w:hint="eastAsia"/>
          <w:color w:val="auto"/>
          <w:szCs w:val="22"/>
          <w:highlight w:val="none"/>
          <w:u w:val="single"/>
        </w:rPr>
        <w:t xml:space="preserve">      </w:t>
      </w:r>
      <w:r>
        <w:rPr>
          <w:rFonts w:hint="eastAsia"/>
          <w:color w:val="auto"/>
          <w:szCs w:val="22"/>
          <w:highlight w:val="none"/>
        </w:rPr>
        <w:t>产品为环保或节能产品。</w:t>
      </w:r>
    </w:p>
    <w:p>
      <w:pPr>
        <w:spacing w:line="460" w:lineRule="atLeast"/>
        <w:ind w:firstLine="440" w:firstLineChars="200"/>
        <w:rPr>
          <w:color w:val="auto"/>
          <w:szCs w:val="22"/>
          <w:highlight w:val="none"/>
        </w:rPr>
      </w:pPr>
      <w:r>
        <w:rPr>
          <w:rFonts w:hint="eastAsia"/>
          <w:color w:val="auto"/>
          <w:szCs w:val="22"/>
          <w:highlight w:val="none"/>
        </w:rPr>
        <w:t>本公司对上述声明的真实性负责。如有虚假，将依法承担相应法律责任。</w:t>
      </w:r>
    </w:p>
    <w:p>
      <w:pPr>
        <w:spacing w:line="460" w:lineRule="atLeast"/>
        <w:rPr>
          <w:color w:val="auto"/>
          <w:szCs w:val="22"/>
          <w:highlight w:val="none"/>
        </w:rPr>
      </w:pPr>
    </w:p>
    <w:p>
      <w:pPr>
        <w:autoSpaceDE w:val="0"/>
        <w:autoSpaceDN w:val="0"/>
        <w:adjustRightInd w:val="0"/>
        <w:spacing w:line="460" w:lineRule="atLeast"/>
        <w:rPr>
          <w:rFonts w:cs="Arial"/>
          <w:color w:val="auto"/>
          <w:highlight w:val="none"/>
          <w:lang w:val="zh-CN"/>
        </w:rPr>
      </w:pPr>
      <w:r>
        <w:rPr>
          <w:rFonts w:hint="eastAsia" w:cs="Arial"/>
          <w:color w:val="auto"/>
          <w:highlight w:val="none"/>
          <w:lang w:val="zh-CN"/>
        </w:rPr>
        <w:t xml:space="preserve">投标供应商盖章：        </w:t>
      </w:r>
    </w:p>
    <w:p>
      <w:pPr>
        <w:autoSpaceDE w:val="0"/>
        <w:autoSpaceDN w:val="0"/>
        <w:adjustRightInd w:val="0"/>
        <w:spacing w:line="460" w:lineRule="atLeast"/>
        <w:jc w:val="left"/>
        <w:rPr>
          <w:rFonts w:hint="eastAsia"/>
          <w:color w:val="auto"/>
          <w:szCs w:val="22"/>
          <w:highlight w:val="none"/>
        </w:rPr>
      </w:pPr>
      <w:r>
        <w:rPr>
          <w:rFonts w:hint="eastAsia"/>
          <w:color w:val="auto"/>
          <w:szCs w:val="22"/>
          <w:highlight w:val="none"/>
        </w:rPr>
        <w:t xml:space="preserve">日 期：                  </w:t>
      </w:r>
    </w:p>
    <w:p>
      <w:pPr>
        <w:autoSpaceDE w:val="0"/>
        <w:autoSpaceDN w:val="0"/>
        <w:adjustRightInd w:val="0"/>
        <w:spacing w:line="460" w:lineRule="atLeast"/>
        <w:jc w:val="center"/>
        <w:rPr>
          <w:rFonts w:hint="eastAsia"/>
          <w:color w:val="auto"/>
          <w:szCs w:val="22"/>
          <w:highlight w:val="none"/>
        </w:rPr>
      </w:pPr>
    </w:p>
    <w:p>
      <w:pPr>
        <w:autoSpaceDE w:val="0"/>
        <w:autoSpaceDN w:val="0"/>
        <w:adjustRightInd w:val="0"/>
        <w:spacing w:line="460" w:lineRule="atLeast"/>
        <w:jc w:val="center"/>
        <w:rPr>
          <w:rFonts w:hint="eastAsia"/>
          <w:color w:val="auto"/>
          <w:szCs w:val="22"/>
          <w:highlight w:val="none"/>
        </w:rPr>
      </w:pPr>
    </w:p>
    <w:p>
      <w:pPr>
        <w:autoSpaceDE w:val="0"/>
        <w:autoSpaceDN w:val="0"/>
        <w:adjustRightInd w:val="0"/>
        <w:spacing w:line="460" w:lineRule="atLeast"/>
        <w:jc w:val="center"/>
        <w:rPr>
          <w:rFonts w:hint="eastAsia"/>
          <w:color w:val="auto"/>
          <w:szCs w:val="22"/>
          <w:highlight w:val="none"/>
        </w:rPr>
      </w:pPr>
    </w:p>
    <w:p>
      <w:pPr>
        <w:autoSpaceDE w:val="0"/>
        <w:autoSpaceDN w:val="0"/>
        <w:adjustRightInd w:val="0"/>
        <w:spacing w:line="460" w:lineRule="atLeast"/>
        <w:jc w:val="center"/>
        <w:rPr>
          <w:rFonts w:hint="eastAsia"/>
          <w:color w:val="auto"/>
          <w:szCs w:val="22"/>
          <w:highlight w:val="none"/>
        </w:rPr>
      </w:pPr>
    </w:p>
    <w:p>
      <w:pPr>
        <w:autoSpaceDE w:val="0"/>
        <w:autoSpaceDN w:val="0"/>
        <w:adjustRightInd w:val="0"/>
        <w:spacing w:line="460" w:lineRule="atLeast"/>
        <w:jc w:val="center"/>
        <w:rPr>
          <w:rFonts w:hint="eastAsia"/>
          <w:color w:val="auto"/>
          <w:szCs w:val="22"/>
          <w:highlight w:val="none"/>
        </w:rPr>
      </w:pPr>
    </w:p>
    <w:p>
      <w:pPr>
        <w:autoSpaceDE w:val="0"/>
        <w:autoSpaceDN w:val="0"/>
        <w:adjustRightInd w:val="0"/>
        <w:spacing w:line="460" w:lineRule="atLeast"/>
        <w:jc w:val="center"/>
        <w:rPr>
          <w:rFonts w:hint="eastAsia"/>
          <w:color w:val="auto"/>
          <w:szCs w:val="22"/>
          <w:highlight w:val="none"/>
        </w:rPr>
      </w:pPr>
    </w:p>
    <w:p>
      <w:pPr>
        <w:autoSpaceDE w:val="0"/>
        <w:autoSpaceDN w:val="0"/>
        <w:adjustRightInd w:val="0"/>
        <w:spacing w:line="460" w:lineRule="atLeast"/>
        <w:jc w:val="center"/>
        <w:rPr>
          <w:rFonts w:hint="eastAsia"/>
          <w:color w:val="auto"/>
          <w:szCs w:val="22"/>
          <w:highlight w:val="none"/>
        </w:rPr>
      </w:pPr>
    </w:p>
    <w:p>
      <w:pPr>
        <w:autoSpaceDE w:val="0"/>
        <w:autoSpaceDN w:val="0"/>
        <w:adjustRightInd w:val="0"/>
        <w:spacing w:line="460" w:lineRule="atLeast"/>
        <w:jc w:val="center"/>
        <w:rPr>
          <w:rFonts w:hint="eastAsia"/>
          <w:color w:val="auto"/>
          <w:szCs w:val="22"/>
          <w:highlight w:val="none"/>
        </w:rPr>
      </w:pPr>
    </w:p>
    <w:p>
      <w:pPr>
        <w:autoSpaceDE w:val="0"/>
        <w:autoSpaceDN w:val="0"/>
        <w:adjustRightInd w:val="0"/>
        <w:spacing w:line="460" w:lineRule="atLeast"/>
        <w:jc w:val="center"/>
        <w:rPr>
          <w:rFonts w:hint="eastAsia"/>
          <w:color w:val="auto"/>
          <w:szCs w:val="22"/>
          <w:highlight w:val="none"/>
        </w:rPr>
      </w:pPr>
    </w:p>
    <w:p>
      <w:pPr>
        <w:autoSpaceDE w:val="0"/>
        <w:autoSpaceDN w:val="0"/>
        <w:adjustRightInd w:val="0"/>
        <w:spacing w:line="460" w:lineRule="atLeast"/>
        <w:jc w:val="center"/>
        <w:rPr>
          <w:rFonts w:hint="eastAsia"/>
          <w:color w:val="auto"/>
          <w:szCs w:val="22"/>
          <w:highlight w:val="none"/>
        </w:rPr>
      </w:pPr>
    </w:p>
    <w:p>
      <w:pPr>
        <w:autoSpaceDE w:val="0"/>
        <w:autoSpaceDN w:val="0"/>
        <w:adjustRightInd w:val="0"/>
        <w:spacing w:line="460" w:lineRule="atLeast"/>
        <w:jc w:val="center"/>
        <w:rPr>
          <w:rFonts w:hint="eastAsia"/>
          <w:color w:val="auto"/>
          <w:szCs w:val="22"/>
          <w:highlight w:val="none"/>
        </w:rPr>
      </w:pPr>
    </w:p>
    <w:p>
      <w:pPr>
        <w:pStyle w:val="21"/>
        <w:spacing w:before="120" w:after="120"/>
        <w:ind w:left="447" w:hanging="447"/>
        <w:rPr>
          <w:rFonts w:hint="eastAsia"/>
          <w:color w:val="auto"/>
          <w:highlight w:val="none"/>
        </w:rPr>
      </w:pPr>
    </w:p>
    <w:p>
      <w:pPr>
        <w:pStyle w:val="21"/>
        <w:spacing w:before="120" w:after="120"/>
        <w:ind w:left="447" w:hanging="447"/>
        <w:rPr>
          <w:rFonts w:hint="eastAsia"/>
          <w:color w:val="auto"/>
          <w:highlight w:val="none"/>
        </w:rPr>
      </w:pPr>
    </w:p>
    <w:p>
      <w:pPr>
        <w:autoSpaceDE w:val="0"/>
        <w:autoSpaceDN w:val="0"/>
        <w:adjustRightInd w:val="0"/>
        <w:spacing w:line="460" w:lineRule="atLeast"/>
        <w:jc w:val="center"/>
        <w:rPr>
          <w:rFonts w:hint="eastAsia"/>
          <w:b/>
          <w:color w:val="auto"/>
          <w:sz w:val="36"/>
          <w:highlight w:val="none"/>
          <w:lang w:val="zh-CN"/>
        </w:rPr>
      </w:pPr>
      <w:r>
        <w:rPr>
          <w:rFonts w:hint="eastAsia"/>
          <w:b/>
          <w:color w:val="auto"/>
          <w:sz w:val="36"/>
          <w:highlight w:val="none"/>
          <w:lang w:val="zh-CN"/>
        </w:rPr>
        <w:t>节能（环保）产品清单</w:t>
      </w:r>
    </w:p>
    <w:p>
      <w:pPr>
        <w:autoSpaceDE w:val="0"/>
        <w:autoSpaceDN w:val="0"/>
        <w:adjustRightInd w:val="0"/>
        <w:spacing w:line="460" w:lineRule="atLeast"/>
        <w:jc w:val="center"/>
        <w:rPr>
          <w:b/>
          <w:color w:val="auto"/>
          <w:sz w:val="36"/>
          <w:highlight w:val="none"/>
          <w:lang w:val="zh-CN"/>
        </w:rPr>
      </w:pPr>
      <w:r>
        <w:rPr>
          <w:rFonts w:hint="eastAsia"/>
          <w:b/>
          <w:color w:val="auto"/>
          <w:szCs w:val="22"/>
          <w:highlight w:val="none"/>
        </w:rPr>
        <w:t>(如有则提供)</w:t>
      </w:r>
    </w:p>
    <w:p>
      <w:pPr>
        <w:rPr>
          <w:color w:val="auto"/>
          <w:szCs w:val="22"/>
          <w:highlight w:val="none"/>
        </w:rPr>
      </w:pPr>
      <w:r>
        <w:rPr>
          <w:rFonts w:hint="eastAsia"/>
          <w:color w:val="auto"/>
          <w:szCs w:val="22"/>
          <w:highlight w:val="none"/>
        </w:rPr>
        <w:t>（1）投标产品中节能产品明细清单</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260"/>
        <w:gridCol w:w="1440"/>
        <w:gridCol w:w="1800"/>
        <w:gridCol w:w="198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r>
              <w:rPr>
                <w:rFonts w:hint="eastAsia"/>
                <w:color w:val="auto"/>
                <w:highlight w:val="none"/>
              </w:rPr>
              <w:t>制造商</w:t>
            </w: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r>
              <w:rPr>
                <w:rFonts w:hint="eastAsia"/>
                <w:color w:val="auto"/>
                <w:highlight w:val="none"/>
              </w:rPr>
              <w:t>品牌</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r>
              <w:rPr>
                <w:rFonts w:hint="eastAsia"/>
                <w:color w:val="auto"/>
                <w:highlight w:val="none"/>
              </w:rPr>
              <w:t>产品名称、规格型号</w:t>
            </w: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r>
              <w:rPr>
                <w:rFonts w:hint="eastAsia"/>
                <w:color w:val="auto"/>
                <w:highlight w:val="none"/>
              </w:rPr>
              <w:t>节字标志认证证书号</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r>
              <w:rPr>
                <w:rFonts w:hint="eastAsia"/>
                <w:color w:val="auto"/>
                <w:highlight w:val="none"/>
              </w:rPr>
              <w:t>节能产品认证证书有效截止日期</w:t>
            </w: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r>
              <w:rPr>
                <w:rFonts w:hint="eastAsia"/>
                <w:color w:val="auto"/>
                <w:highlight w:val="none"/>
              </w:rPr>
              <w:t>产品所在节能产品政府采购清单页码</w:t>
            </w: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r>
              <w:rPr>
                <w:rFonts w:hint="eastAsia"/>
                <w:color w:val="auto"/>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r>
    </w:tbl>
    <w:p>
      <w:pPr>
        <w:spacing w:line="460" w:lineRule="exact"/>
        <w:rPr>
          <w:color w:val="auto"/>
          <w:szCs w:val="22"/>
          <w:highlight w:val="none"/>
        </w:rPr>
      </w:pPr>
      <w:r>
        <w:rPr>
          <w:rFonts w:hint="eastAsia"/>
          <w:color w:val="auto"/>
          <w:szCs w:val="22"/>
          <w:highlight w:val="none"/>
        </w:rPr>
        <w:t>（2）投标产品中环保产品明细清单</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260"/>
        <w:gridCol w:w="1620"/>
        <w:gridCol w:w="1440"/>
        <w:gridCol w:w="216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r>
              <w:rPr>
                <w:rFonts w:hint="eastAsia"/>
                <w:color w:val="auto"/>
                <w:highlight w:val="none"/>
              </w:rPr>
              <w:t>企业名称</w:t>
            </w: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r>
              <w:rPr>
                <w:rFonts w:hint="eastAsia"/>
                <w:color w:val="auto"/>
                <w:highlight w:val="none"/>
              </w:rPr>
              <w:t>注册商标</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r>
              <w:rPr>
                <w:rFonts w:hint="eastAsia"/>
                <w:color w:val="auto"/>
                <w:highlight w:val="none"/>
              </w:rPr>
              <w:t>产品名称、规格型号</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r>
              <w:rPr>
                <w:rFonts w:hint="eastAsia"/>
                <w:color w:val="auto"/>
                <w:highlight w:val="none"/>
              </w:rPr>
              <w:t>中国环境标志认证证书编号</w:t>
            </w: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r>
              <w:rPr>
                <w:rFonts w:hint="eastAsia"/>
                <w:color w:val="auto"/>
                <w:highlight w:val="none"/>
              </w:rPr>
              <w:t>认证证书有效截止日期</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r>
              <w:rPr>
                <w:rFonts w:hint="eastAsia"/>
                <w:color w:val="auto"/>
                <w:highlight w:val="none"/>
              </w:rPr>
              <w:t>产品所在环境标志产品政府采购清单页码</w:t>
            </w: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r>
              <w:rPr>
                <w:rFonts w:hint="eastAsia"/>
                <w:color w:val="auto"/>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color w:val="auto"/>
                <w:highlight w:val="none"/>
              </w:rPr>
            </w:pPr>
          </w:p>
        </w:tc>
      </w:tr>
    </w:tbl>
    <w:p>
      <w:pPr>
        <w:spacing w:line="460" w:lineRule="exact"/>
        <w:rPr>
          <w:rFonts w:hint="eastAsia"/>
          <w:color w:val="auto"/>
          <w:szCs w:val="22"/>
          <w:highlight w:val="none"/>
        </w:rPr>
      </w:pPr>
      <w:r>
        <w:rPr>
          <w:rFonts w:hint="eastAsia"/>
          <w:color w:val="auto"/>
          <w:szCs w:val="22"/>
          <w:highlight w:val="none"/>
        </w:rPr>
        <w:t>说明：1、表后附所投相关产品对应在节能（环保）产品清单中的证明材料；</w:t>
      </w:r>
    </w:p>
    <w:p>
      <w:pPr>
        <w:spacing w:line="460" w:lineRule="exact"/>
        <w:ind w:firstLine="660" w:firstLineChars="300"/>
        <w:rPr>
          <w:color w:val="auto"/>
          <w:szCs w:val="22"/>
          <w:highlight w:val="none"/>
        </w:rPr>
      </w:pPr>
      <w:r>
        <w:rPr>
          <w:rFonts w:hint="eastAsia"/>
          <w:color w:val="auto"/>
          <w:szCs w:val="22"/>
          <w:highlight w:val="none"/>
        </w:rPr>
        <w:t>2、表格可以延续。</w:t>
      </w:r>
    </w:p>
    <w:p>
      <w:pPr>
        <w:rPr>
          <w:color w:val="auto"/>
          <w:highlight w:val="none"/>
        </w:rPr>
      </w:pPr>
    </w:p>
    <w:p>
      <w:pPr>
        <w:rPr>
          <w:color w:val="auto"/>
          <w:highlight w:val="none"/>
        </w:rPr>
      </w:pPr>
    </w:p>
    <w:p>
      <w:pPr>
        <w:autoSpaceDE w:val="0"/>
        <w:autoSpaceDN w:val="0"/>
        <w:adjustRightInd w:val="0"/>
        <w:spacing w:line="460" w:lineRule="atLeast"/>
        <w:rPr>
          <w:rFonts w:cs="Arial"/>
          <w:color w:val="auto"/>
          <w:highlight w:val="none"/>
          <w:lang w:val="zh-CN"/>
        </w:rPr>
      </w:pPr>
      <w:r>
        <w:rPr>
          <w:rFonts w:hint="eastAsia" w:cs="Arial"/>
          <w:color w:val="auto"/>
          <w:highlight w:val="none"/>
          <w:lang w:val="zh-CN"/>
        </w:rPr>
        <w:t xml:space="preserve">                                                    投标供应商盖章：   </w:t>
      </w:r>
    </w:p>
    <w:p>
      <w:pPr>
        <w:spacing w:line="460" w:lineRule="exact"/>
        <w:rPr>
          <w:color w:val="auto"/>
          <w:szCs w:val="22"/>
          <w:highlight w:val="none"/>
        </w:rPr>
      </w:pPr>
      <w:r>
        <w:rPr>
          <w:rFonts w:hint="eastAsia"/>
          <w:color w:val="auto"/>
          <w:szCs w:val="22"/>
          <w:highlight w:val="none"/>
        </w:rPr>
        <w:t xml:space="preserve">                                                       日 期：          </w:t>
      </w:r>
    </w:p>
    <w:p>
      <w:pPr>
        <w:spacing w:line="460" w:lineRule="atLeast"/>
        <w:rPr>
          <w:rFonts w:hint="eastAsia"/>
          <w:color w:val="auto"/>
          <w:sz w:val="28"/>
          <w:szCs w:val="28"/>
          <w:highlight w:val="none"/>
        </w:rPr>
      </w:pPr>
    </w:p>
    <w:p>
      <w:pPr>
        <w:pStyle w:val="21"/>
        <w:spacing w:before="120" w:after="120"/>
        <w:ind w:left="447" w:hanging="447"/>
        <w:rPr>
          <w:rFonts w:hint="eastAsia"/>
          <w:color w:val="auto"/>
          <w:highlight w:val="none"/>
        </w:rPr>
      </w:pPr>
    </w:p>
    <w:p>
      <w:pPr>
        <w:pStyle w:val="21"/>
        <w:spacing w:before="120" w:after="120"/>
        <w:ind w:left="447" w:hanging="447"/>
        <w:rPr>
          <w:rFonts w:hint="eastAsia"/>
          <w:color w:val="auto"/>
          <w:highlight w:val="none"/>
        </w:rPr>
      </w:pPr>
    </w:p>
    <w:p>
      <w:pPr>
        <w:pStyle w:val="21"/>
        <w:spacing w:before="120" w:after="120"/>
        <w:ind w:left="447" w:hanging="447"/>
        <w:rPr>
          <w:color w:val="auto"/>
          <w:highlight w:val="none"/>
        </w:rPr>
      </w:pPr>
    </w:p>
    <w:p>
      <w:pPr>
        <w:pStyle w:val="24"/>
        <w:spacing w:line="460" w:lineRule="atLeast"/>
        <w:rPr>
          <w:rFonts w:hint="eastAsia" w:hAnsi="宋体" w:cs="宋体"/>
          <w:b/>
          <w:color w:val="auto"/>
          <w:sz w:val="32"/>
          <w:highlight w:val="none"/>
        </w:rPr>
      </w:pPr>
      <w:r>
        <w:rPr>
          <w:rFonts w:hint="eastAsia" w:hAnsi="宋体" w:cs="宋体"/>
          <w:b/>
          <w:color w:val="auto"/>
          <w:sz w:val="32"/>
          <w:highlight w:val="none"/>
        </w:rPr>
        <w:t>附件十  供应商参与国企采购活动投标资格声明</w:t>
      </w:r>
    </w:p>
    <w:p>
      <w:pPr>
        <w:pStyle w:val="24"/>
        <w:adjustRightInd w:val="0"/>
        <w:snapToGrid w:val="0"/>
        <w:spacing w:line="360" w:lineRule="exact"/>
        <w:jc w:val="center"/>
        <w:rPr>
          <w:rFonts w:hint="eastAsia" w:hAnsi="宋体" w:cs="宋体"/>
          <w:b/>
          <w:color w:val="auto"/>
          <w:sz w:val="32"/>
          <w:highlight w:val="none"/>
          <w:lang w:val="zh-CN"/>
        </w:rPr>
      </w:pPr>
    </w:p>
    <w:p>
      <w:pPr>
        <w:pStyle w:val="24"/>
        <w:adjustRightInd w:val="0"/>
        <w:snapToGrid w:val="0"/>
        <w:spacing w:line="360" w:lineRule="exact"/>
        <w:jc w:val="center"/>
        <w:rPr>
          <w:rFonts w:hint="eastAsia" w:hAnsi="宋体" w:cs="宋体"/>
          <w:b/>
          <w:color w:val="auto"/>
          <w:sz w:val="32"/>
          <w:highlight w:val="none"/>
          <w:lang w:val="zh-CN"/>
        </w:rPr>
      </w:pPr>
      <w:r>
        <w:rPr>
          <w:rFonts w:hint="eastAsia" w:hAnsi="宋体" w:cs="宋体"/>
          <w:b/>
          <w:color w:val="auto"/>
          <w:sz w:val="32"/>
          <w:highlight w:val="none"/>
          <w:lang w:val="zh-CN"/>
        </w:rPr>
        <w:t>供应商参与国企采购活动投标资格声明函</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noWrap w:val="0"/>
            <w:vAlign w:val="top"/>
          </w:tcPr>
          <w:p>
            <w:pPr>
              <w:pStyle w:val="24"/>
              <w:adjustRightInd w:val="0"/>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项目名称</w:t>
            </w:r>
          </w:p>
        </w:tc>
        <w:tc>
          <w:tcPr>
            <w:tcW w:w="8303" w:type="dxa"/>
            <w:noWrap w:val="0"/>
            <w:vAlign w:val="top"/>
          </w:tcPr>
          <w:p>
            <w:pPr>
              <w:pStyle w:val="24"/>
              <w:adjustRightInd w:val="0"/>
              <w:snapToGrid w:val="0"/>
              <w:spacing w:line="400" w:lineRule="exact"/>
              <w:ind w:left="422" w:firstLine="331"/>
              <w:rPr>
                <w:rFonts w:hint="eastAsia" w:hAnsi="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24"/>
              <w:adjustRightInd w:val="0"/>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项目采购编号</w:t>
            </w:r>
          </w:p>
        </w:tc>
        <w:tc>
          <w:tcPr>
            <w:tcW w:w="8303" w:type="dxa"/>
            <w:noWrap w:val="0"/>
            <w:vAlign w:val="top"/>
          </w:tcPr>
          <w:p>
            <w:pPr>
              <w:pStyle w:val="24"/>
              <w:adjustRightInd w:val="0"/>
              <w:snapToGrid w:val="0"/>
              <w:spacing w:line="400" w:lineRule="exact"/>
              <w:ind w:left="422" w:firstLine="361"/>
              <w:rPr>
                <w:rFonts w:hint="eastAsia" w:hAnsi="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24"/>
              <w:adjustRightInd w:val="0"/>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时    间</w:t>
            </w:r>
          </w:p>
        </w:tc>
        <w:tc>
          <w:tcPr>
            <w:tcW w:w="8303" w:type="dxa"/>
            <w:noWrap w:val="0"/>
            <w:vAlign w:val="top"/>
          </w:tcPr>
          <w:p>
            <w:pPr>
              <w:pStyle w:val="24"/>
              <w:adjustRightInd w:val="0"/>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923" w:type="dxa"/>
            <w:gridSpan w:val="2"/>
            <w:noWrap w:val="0"/>
            <w:vAlign w:val="top"/>
          </w:tcPr>
          <w:p>
            <w:pPr>
              <w:pStyle w:val="24"/>
              <w:adjustRightInd w:val="0"/>
              <w:snapToGrid w:val="0"/>
              <w:spacing w:line="400" w:lineRule="exact"/>
              <w:ind w:firstLine="450"/>
              <w:rPr>
                <w:rFonts w:hAnsi="宋体" w:cs="宋体"/>
                <w:color w:val="auto"/>
                <w:sz w:val="22"/>
                <w:szCs w:val="22"/>
                <w:highlight w:val="none"/>
              </w:rPr>
            </w:pPr>
            <w:r>
              <w:rPr>
                <w:rFonts w:hint="eastAsia" w:hAnsi="宋体" w:cs="宋体"/>
                <w:color w:val="auto"/>
                <w:sz w:val="22"/>
                <w:szCs w:val="22"/>
                <w:highlight w:val="none"/>
              </w:rPr>
              <w:t>1、根据《平阳县国有企业采购管理办法（试行）》第十二条规定，我单位满足以下条件：</w:t>
            </w:r>
          </w:p>
          <w:p>
            <w:pPr>
              <w:pStyle w:val="24"/>
              <w:adjustRightInd w:val="0"/>
              <w:snapToGrid w:val="0"/>
              <w:spacing w:line="400" w:lineRule="exact"/>
              <w:ind w:firstLine="450"/>
              <w:rPr>
                <w:rFonts w:hint="eastAsia" w:hAnsi="宋体" w:cs="宋体"/>
                <w:color w:val="auto"/>
                <w:sz w:val="22"/>
                <w:szCs w:val="22"/>
                <w:highlight w:val="none"/>
              </w:rPr>
            </w:pPr>
            <w:r>
              <w:rPr>
                <w:rFonts w:hint="eastAsia" w:hAnsi="宋体" w:cs="宋体"/>
                <w:color w:val="auto"/>
                <w:sz w:val="22"/>
                <w:szCs w:val="22"/>
                <w:highlight w:val="none"/>
              </w:rPr>
              <w:t xml:space="preserve">（一）具有独立承担民事责任的能力； </w:t>
            </w:r>
          </w:p>
          <w:p>
            <w:pPr>
              <w:pStyle w:val="24"/>
              <w:adjustRightInd w:val="0"/>
              <w:snapToGrid w:val="0"/>
              <w:spacing w:line="400" w:lineRule="exact"/>
              <w:ind w:firstLine="450"/>
              <w:rPr>
                <w:rFonts w:hint="eastAsia" w:hAnsi="宋体" w:cs="宋体"/>
                <w:color w:val="auto"/>
                <w:sz w:val="22"/>
                <w:szCs w:val="22"/>
                <w:highlight w:val="none"/>
              </w:rPr>
            </w:pPr>
            <w:r>
              <w:rPr>
                <w:rFonts w:hint="eastAsia" w:hAnsi="宋体" w:cs="宋体"/>
                <w:color w:val="auto"/>
                <w:sz w:val="22"/>
                <w:szCs w:val="22"/>
                <w:highlight w:val="none"/>
              </w:rPr>
              <w:t xml:space="preserve">（二）具有良好的商业信誉和健全的财务会计制度； </w:t>
            </w:r>
          </w:p>
          <w:p>
            <w:pPr>
              <w:pStyle w:val="24"/>
              <w:adjustRightInd w:val="0"/>
              <w:snapToGrid w:val="0"/>
              <w:spacing w:line="400" w:lineRule="exact"/>
              <w:ind w:firstLine="450"/>
              <w:rPr>
                <w:rFonts w:hint="eastAsia" w:hAnsi="宋体" w:cs="宋体"/>
                <w:color w:val="auto"/>
                <w:sz w:val="22"/>
                <w:szCs w:val="22"/>
                <w:highlight w:val="none"/>
              </w:rPr>
            </w:pPr>
            <w:r>
              <w:rPr>
                <w:rFonts w:hint="eastAsia" w:hAnsi="宋体" w:cs="宋体"/>
                <w:color w:val="auto"/>
                <w:sz w:val="22"/>
                <w:szCs w:val="22"/>
                <w:highlight w:val="none"/>
              </w:rPr>
              <w:t xml:space="preserve">（三）具有履行合同所必需的设备和专业技术能力； </w:t>
            </w:r>
          </w:p>
          <w:p>
            <w:pPr>
              <w:pStyle w:val="24"/>
              <w:adjustRightInd w:val="0"/>
              <w:snapToGrid w:val="0"/>
              <w:spacing w:line="400" w:lineRule="exact"/>
              <w:ind w:firstLine="450"/>
              <w:rPr>
                <w:rFonts w:hint="eastAsia" w:hAnsi="宋体" w:cs="宋体"/>
                <w:color w:val="auto"/>
                <w:sz w:val="22"/>
                <w:szCs w:val="22"/>
                <w:highlight w:val="none"/>
              </w:rPr>
            </w:pPr>
            <w:r>
              <w:rPr>
                <w:rFonts w:hint="eastAsia" w:hAnsi="宋体" w:cs="宋体"/>
                <w:color w:val="auto"/>
                <w:sz w:val="22"/>
                <w:szCs w:val="22"/>
                <w:highlight w:val="none"/>
              </w:rPr>
              <w:t xml:space="preserve">（四）有依法缴纳税收和社会保障资金的良好记录； </w:t>
            </w:r>
          </w:p>
          <w:p>
            <w:pPr>
              <w:pStyle w:val="24"/>
              <w:adjustRightInd w:val="0"/>
              <w:snapToGrid w:val="0"/>
              <w:spacing w:line="400" w:lineRule="exact"/>
              <w:ind w:firstLine="450"/>
              <w:rPr>
                <w:rFonts w:hint="eastAsia" w:hAnsi="宋体" w:cs="宋体"/>
                <w:color w:val="auto"/>
                <w:sz w:val="22"/>
                <w:szCs w:val="22"/>
                <w:highlight w:val="none"/>
              </w:rPr>
            </w:pPr>
            <w:r>
              <w:rPr>
                <w:rFonts w:hint="eastAsia" w:hAnsi="宋体" w:cs="宋体"/>
                <w:color w:val="auto"/>
                <w:sz w:val="22"/>
                <w:szCs w:val="22"/>
                <w:highlight w:val="none"/>
              </w:rPr>
              <w:t xml:space="preserve">（五）参加政府采购活动前三年内，在经营活动中没有重大违法记录； </w:t>
            </w:r>
          </w:p>
          <w:p>
            <w:pPr>
              <w:pStyle w:val="24"/>
              <w:adjustRightInd w:val="0"/>
              <w:snapToGrid w:val="0"/>
              <w:spacing w:line="400" w:lineRule="exact"/>
              <w:ind w:firstLine="450"/>
              <w:rPr>
                <w:rFonts w:hint="eastAsia" w:hAnsi="宋体" w:cs="宋体"/>
                <w:color w:val="auto"/>
                <w:sz w:val="22"/>
                <w:szCs w:val="22"/>
                <w:highlight w:val="none"/>
              </w:rPr>
            </w:pPr>
            <w:r>
              <w:rPr>
                <w:rFonts w:hint="eastAsia" w:hAnsi="宋体" w:cs="宋体"/>
                <w:color w:val="auto"/>
                <w:sz w:val="22"/>
                <w:szCs w:val="22"/>
                <w:highlight w:val="none"/>
              </w:rPr>
              <w:t xml:space="preserve">（六）法律、行政法规规定的其他条件。 </w:t>
            </w:r>
          </w:p>
          <w:p>
            <w:pPr>
              <w:pStyle w:val="24"/>
              <w:adjustRightInd w:val="0"/>
              <w:snapToGrid w:val="0"/>
              <w:spacing w:line="400" w:lineRule="exact"/>
              <w:ind w:firstLine="450"/>
              <w:rPr>
                <w:rFonts w:hint="eastAsia" w:hAnsi="宋体" w:cs="宋体"/>
                <w:color w:val="auto"/>
                <w:sz w:val="22"/>
                <w:szCs w:val="22"/>
                <w:highlight w:val="none"/>
              </w:rPr>
            </w:pPr>
            <w:r>
              <w:rPr>
                <w:rFonts w:hint="eastAsia" w:hAnsi="宋体" w:cs="宋体"/>
                <w:color w:val="auto"/>
                <w:sz w:val="22"/>
                <w:szCs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cs="宋体"/>
                <w:b/>
                <w:color w:val="auto"/>
                <w:sz w:val="22"/>
                <w:szCs w:val="22"/>
                <w:highlight w:val="none"/>
              </w:rPr>
              <w:t>我单位承诺不存在上述文件规定依法限制参与政府采购的情况。</w:t>
            </w:r>
          </w:p>
          <w:p>
            <w:pPr>
              <w:pStyle w:val="24"/>
              <w:adjustRightInd w:val="0"/>
              <w:snapToGrid w:val="0"/>
              <w:spacing w:line="400" w:lineRule="exact"/>
              <w:ind w:firstLine="450"/>
              <w:rPr>
                <w:rFonts w:hint="eastAsia" w:hAnsi="宋体" w:cs="宋体"/>
                <w:color w:val="auto"/>
                <w:sz w:val="22"/>
                <w:szCs w:val="22"/>
                <w:highlight w:val="none"/>
              </w:rPr>
            </w:pPr>
            <w:r>
              <w:rPr>
                <w:rFonts w:hint="eastAsia" w:hAnsi="宋体" w:cs="宋体"/>
                <w:color w:val="auto"/>
                <w:sz w:val="22"/>
                <w:szCs w:val="22"/>
                <w:highlight w:val="none"/>
              </w:rPr>
              <w:t>3、我单位承诺没有被各地、各级财政部门限制参加政府采购活动。</w:t>
            </w:r>
          </w:p>
          <w:p>
            <w:pPr>
              <w:pStyle w:val="24"/>
              <w:adjustRightInd w:val="0"/>
              <w:snapToGrid w:val="0"/>
              <w:spacing w:line="400" w:lineRule="exact"/>
              <w:ind w:firstLine="450"/>
              <w:rPr>
                <w:rFonts w:hint="eastAsia" w:hAnsi="宋体" w:cs="宋体"/>
                <w:color w:val="auto"/>
                <w:sz w:val="22"/>
                <w:szCs w:val="22"/>
                <w:highlight w:val="none"/>
              </w:rPr>
            </w:pPr>
            <w:r>
              <w:rPr>
                <w:rFonts w:hint="eastAsia" w:hAnsi="宋体" w:cs="宋体"/>
                <w:color w:val="auto"/>
                <w:sz w:val="22"/>
                <w:szCs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adjustRightInd w:val="0"/>
              <w:spacing w:line="400" w:lineRule="exact"/>
              <w:ind w:firstLine="440" w:firstLineChars="200"/>
              <w:rPr>
                <w:rFonts w:hint="eastAsia" w:ascii="宋体" w:hAnsi="宋体" w:cs="宋体"/>
                <w:bCs/>
                <w:color w:val="auto"/>
                <w:szCs w:val="22"/>
                <w:highlight w:val="none"/>
              </w:rPr>
            </w:pPr>
            <w:r>
              <w:rPr>
                <w:rFonts w:hint="eastAsia" w:ascii="宋体" w:hAnsi="宋体" w:cs="宋体"/>
                <w:bCs/>
                <w:color w:val="auto"/>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23" w:type="dxa"/>
            <w:gridSpan w:val="2"/>
            <w:noWrap w:val="0"/>
            <w:vAlign w:val="center"/>
          </w:tcPr>
          <w:p>
            <w:pPr>
              <w:pStyle w:val="24"/>
              <w:adjustRightInd w:val="0"/>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923" w:type="dxa"/>
            <w:gridSpan w:val="2"/>
            <w:noWrap w:val="0"/>
            <w:vAlign w:val="center"/>
          </w:tcPr>
          <w:p>
            <w:pPr>
              <w:pStyle w:val="24"/>
              <w:adjustRightInd w:val="0"/>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923" w:type="dxa"/>
            <w:gridSpan w:val="2"/>
            <w:noWrap w:val="0"/>
            <w:vAlign w:val="center"/>
          </w:tcPr>
          <w:p>
            <w:pPr>
              <w:pStyle w:val="24"/>
              <w:adjustRightInd w:val="0"/>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签署日期：</w:t>
            </w:r>
          </w:p>
        </w:tc>
      </w:tr>
    </w:tbl>
    <w:p>
      <w:pPr>
        <w:spacing w:line="360" w:lineRule="exact"/>
        <w:jc w:val="left"/>
        <w:rPr>
          <w:rFonts w:hint="eastAsia" w:ascii="宋体" w:hAnsi="宋体" w:cs="宋体"/>
          <w:bCs/>
          <w:color w:val="auto"/>
          <w:szCs w:val="22"/>
          <w:highlight w:val="none"/>
          <w:u w:val="single"/>
        </w:rPr>
      </w:pPr>
      <w:r>
        <w:rPr>
          <w:rFonts w:hint="eastAsia" w:ascii="宋体" w:hAnsi="宋体" w:cs="宋体"/>
          <w:b/>
          <w:bCs/>
          <w:color w:val="auto"/>
          <w:szCs w:val="22"/>
          <w:highlight w:val="none"/>
        </w:rPr>
        <w:t xml:space="preserve"> </w:t>
      </w:r>
      <w:r>
        <w:rPr>
          <w:rFonts w:hint="eastAsia" w:ascii="宋体" w:hAnsi="宋体" w:cs="宋体"/>
          <w:bCs/>
          <w:color w:val="auto"/>
          <w:szCs w:val="22"/>
          <w:highlight w:val="none"/>
        </w:rPr>
        <w:t xml:space="preserve"> </w:t>
      </w:r>
      <w:r>
        <w:rPr>
          <w:rFonts w:hint="eastAsia" w:ascii="宋体" w:hAnsi="宋体" w:cs="宋体"/>
          <w:bCs/>
          <w:color w:val="auto"/>
          <w:szCs w:val="22"/>
          <w:highlight w:val="none"/>
          <w:u w:val="single"/>
        </w:rPr>
        <w:t>备注：▲投标供应商必须提供本声明，不提供按无效投标处理。</w:t>
      </w:r>
    </w:p>
    <w:p>
      <w:pPr>
        <w:pStyle w:val="24"/>
        <w:spacing w:line="460" w:lineRule="atLeast"/>
        <w:rPr>
          <w:rFonts w:hint="eastAsia" w:hAnsi="宋体" w:cs="宋体"/>
          <w:bCs/>
          <w:color w:val="auto"/>
          <w:sz w:val="32"/>
          <w:highlight w:val="none"/>
        </w:rPr>
      </w:pPr>
    </w:p>
    <w:p>
      <w:pPr>
        <w:pStyle w:val="24"/>
        <w:spacing w:line="460" w:lineRule="atLeast"/>
        <w:rPr>
          <w:rFonts w:hint="eastAsia" w:hAnsi="宋体" w:cs="宋体"/>
          <w:b/>
          <w:color w:val="auto"/>
          <w:sz w:val="32"/>
          <w:highlight w:val="none"/>
        </w:rPr>
      </w:pPr>
    </w:p>
    <w:p>
      <w:pPr>
        <w:tabs>
          <w:tab w:val="left" w:pos="1575"/>
        </w:tabs>
        <w:adjustRightInd w:val="0"/>
        <w:snapToGrid w:val="0"/>
        <w:spacing w:line="360" w:lineRule="auto"/>
        <w:jc w:val="center"/>
        <w:rPr>
          <w:rFonts w:hint="eastAsia" w:eastAsia="新宋体"/>
          <w:b/>
          <w:color w:val="auto"/>
          <w:sz w:val="36"/>
          <w:szCs w:val="36"/>
          <w:highlight w:val="none"/>
        </w:rPr>
      </w:pPr>
      <w:r>
        <w:rPr>
          <w:rFonts w:eastAsia="新宋体"/>
          <w:b/>
          <w:color w:val="auto"/>
          <w:sz w:val="36"/>
          <w:szCs w:val="36"/>
          <w:highlight w:val="none"/>
        </w:rPr>
        <w:br w:type="page"/>
      </w:r>
      <w:r>
        <w:rPr>
          <w:rFonts w:hint="eastAsia" w:eastAsia="新宋体"/>
          <w:b/>
          <w:color w:val="auto"/>
          <w:sz w:val="36"/>
          <w:szCs w:val="36"/>
          <w:highlight w:val="none"/>
        </w:rPr>
        <w:t>质量服务承诺书</w:t>
      </w:r>
    </w:p>
    <w:p>
      <w:pPr>
        <w:spacing w:line="360" w:lineRule="auto"/>
        <w:rPr>
          <w:rFonts w:hint="eastAsia" w:eastAsia="新宋体"/>
          <w:color w:val="auto"/>
          <w:szCs w:val="22"/>
          <w:highlight w:val="none"/>
        </w:rPr>
      </w:pPr>
      <w:r>
        <w:rPr>
          <w:rFonts w:hint="eastAsia" w:hAnsi="新宋体" w:eastAsia="新宋体"/>
          <w:color w:val="auto"/>
          <w:szCs w:val="22"/>
          <w:highlight w:val="none"/>
        </w:rPr>
        <w:t>致</w:t>
      </w:r>
      <w:r>
        <w:rPr>
          <w:rFonts w:hint="eastAsia" w:eastAsia="新宋体"/>
          <w:color w:val="auto"/>
          <w:szCs w:val="22"/>
          <w:highlight w:val="none"/>
          <w:u w:val="single"/>
        </w:rPr>
        <w:t xml:space="preserve">               </w:t>
      </w:r>
      <w:r>
        <w:rPr>
          <w:rFonts w:hint="eastAsia" w:hAnsi="新宋体" w:eastAsia="新宋体"/>
          <w:color w:val="auto"/>
          <w:szCs w:val="22"/>
          <w:highlight w:val="none"/>
        </w:rPr>
        <w:t>（采购人）</w:t>
      </w:r>
      <w:r>
        <w:rPr>
          <w:rFonts w:hint="eastAsia" w:eastAsia="新宋体"/>
          <w:color w:val="auto"/>
          <w:szCs w:val="22"/>
          <w:highlight w:val="none"/>
        </w:rPr>
        <w:t>：</w:t>
      </w:r>
    </w:p>
    <w:p>
      <w:pPr>
        <w:spacing w:line="360" w:lineRule="auto"/>
        <w:ind w:firstLine="440" w:firstLineChars="200"/>
        <w:rPr>
          <w:rFonts w:hint="eastAsia" w:eastAsia="新宋体"/>
          <w:color w:val="auto"/>
          <w:szCs w:val="22"/>
          <w:highlight w:val="none"/>
        </w:rPr>
      </w:pPr>
      <w:r>
        <w:rPr>
          <w:rFonts w:hint="eastAsia" w:hAnsi="新宋体" w:eastAsia="新宋体"/>
          <w:color w:val="auto"/>
          <w:szCs w:val="22"/>
          <w:highlight w:val="none"/>
        </w:rPr>
        <w:t>本公司对</w:t>
      </w:r>
      <w:r>
        <w:rPr>
          <w:rFonts w:hint="eastAsia" w:hAnsi="新宋体" w:eastAsia="新宋体"/>
          <w:color w:val="auto"/>
          <w:szCs w:val="22"/>
          <w:highlight w:val="none"/>
          <w:u w:val="single"/>
        </w:rPr>
        <w:t xml:space="preserve">                </w:t>
      </w:r>
      <w:r>
        <w:rPr>
          <w:rFonts w:hint="eastAsia" w:hAnsi="新宋体" w:eastAsia="新宋体"/>
          <w:color w:val="auto"/>
          <w:szCs w:val="22"/>
          <w:highlight w:val="none"/>
        </w:rPr>
        <w:t>（项目名称）项目做出如下承诺。</w:t>
      </w:r>
    </w:p>
    <w:p>
      <w:pPr>
        <w:spacing w:line="360" w:lineRule="auto"/>
        <w:rPr>
          <w:rFonts w:hint="eastAsia" w:eastAsia="新宋体"/>
          <w:color w:val="auto"/>
          <w:szCs w:val="22"/>
          <w:highlight w:val="none"/>
        </w:rPr>
      </w:pPr>
      <w:r>
        <w:rPr>
          <w:rFonts w:hint="eastAsia" w:hAnsi="新宋体" w:eastAsia="新宋体"/>
          <w:color w:val="auto"/>
          <w:szCs w:val="22"/>
          <w:highlight w:val="none"/>
        </w:rPr>
        <w:t xml:space="preserve">    如果我公司有幸成为</w:t>
      </w:r>
      <w:r>
        <w:rPr>
          <w:rFonts w:hint="eastAsia" w:hAnsi="新宋体" w:eastAsia="新宋体"/>
          <w:color w:val="auto"/>
          <w:szCs w:val="22"/>
          <w:highlight w:val="none"/>
          <w:u w:val="single"/>
        </w:rPr>
        <w:t xml:space="preserve">             </w:t>
      </w:r>
      <w:r>
        <w:rPr>
          <w:rFonts w:hint="eastAsia" w:hAnsi="新宋体" w:eastAsia="新宋体"/>
          <w:color w:val="auto"/>
          <w:szCs w:val="22"/>
          <w:highlight w:val="none"/>
        </w:rPr>
        <w:t>（项目名称）项目的中标人，将作出以下承诺：</w:t>
      </w:r>
    </w:p>
    <w:p>
      <w:pPr>
        <w:spacing w:line="360" w:lineRule="auto"/>
        <w:ind w:firstLine="440" w:firstLineChars="200"/>
        <w:rPr>
          <w:rFonts w:hint="eastAsia" w:hAnsi="新宋体" w:eastAsia="新宋体"/>
          <w:color w:val="auto"/>
          <w:szCs w:val="22"/>
          <w:highlight w:val="none"/>
        </w:rPr>
      </w:pPr>
    </w:p>
    <w:p>
      <w:pPr>
        <w:spacing w:line="360" w:lineRule="auto"/>
        <w:ind w:firstLine="440" w:firstLineChars="200"/>
        <w:rPr>
          <w:rFonts w:hint="eastAsia" w:eastAsia="新宋体"/>
          <w:color w:val="auto"/>
          <w:szCs w:val="22"/>
          <w:highlight w:val="none"/>
        </w:rPr>
      </w:pPr>
      <w:r>
        <w:rPr>
          <w:rFonts w:hint="eastAsia" w:hAnsi="新宋体" w:eastAsia="新宋体"/>
          <w:color w:val="auto"/>
          <w:szCs w:val="22"/>
          <w:highlight w:val="none"/>
        </w:rPr>
        <w:t>一、本公司所提供的产品及其配件都是质量合格产品；</w:t>
      </w:r>
    </w:p>
    <w:p>
      <w:pPr>
        <w:spacing w:line="360" w:lineRule="auto"/>
        <w:rPr>
          <w:rFonts w:hint="eastAsia" w:eastAsia="新宋体"/>
          <w:color w:val="auto"/>
          <w:szCs w:val="22"/>
          <w:highlight w:val="none"/>
        </w:rPr>
      </w:pPr>
    </w:p>
    <w:p>
      <w:pPr>
        <w:spacing w:line="360" w:lineRule="auto"/>
        <w:ind w:firstLine="440" w:firstLineChars="200"/>
        <w:rPr>
          <w:rFonts w:hint="eastAsia" w:eastAsia="新宋体"/>
          <w:color w:val="auto"/>
          <w:szCs w:val="22"/>
          <w:highlight w:val="none"/>
        </w:rPr>
      </w:pPr>
      <w:r>
        <w:rPr>
          <w:rFonts w:hint="eastAsia" w:hAnsi="新宋体" w:eastAsia="新宋体"/>
          <w:color w:val="auto"/>
          <w:szCs w:val="22"/>
          <w:highlight w:val="none"/>
        </w:rPr>
        <w:t>二、在招标文件要求的产品质保期内，对由质量问题的产品进行无条件技术服务直至满足使用方的项目使用需求；</w:t>
      </w:r>
    </w:p>
    <w:p>
      <w:pPr>
        <w:spacing w:line="360" w:lineRule="auto"/>
        <w:rPr>
          <w:rFonts w:hint="eastAsia" w:eastAsia="新宋体"/>
          <w:color w:val="auto"/>
          <w:szCs w:val="22"/>
          <w:highlight w:val="none"/>
        </w:rPr>
      </w:pPr>
    </w:p>
    <w:p>
      <w:pPr>
        <w:spacing w:line="360" w:lineRule="auto"/>
        <w:ind w:firstLine="440" w:firstLineChars="200"/>
        <w:rPr>
          <w:rFonts w:hint="eastAsia" w:hAnsi="新宋体" w:eastAsia="新宋体"/>
          <w:color w:val="auto"/>
          <w:szCs w:val="22"/>
          <w:highlight w:val="none"/>
        </w:rPr>
      </w:pPr>
      <w:r>
        <w:rPr>
          <w:rFonts w:hint="eastAsia" w:hAnsi="新宋体" w:eastAsia="新宋体"/>
          <w:color w:val="auto"/>
          <w:szCs w:val="22"/>
          <w:highlight w:val="none"/>
        </w:rPr>
        <w:t>本承诺书自开标日起至招标方与中标方合同结束之日均有效。</w:t>
      </w:r>
    </w:p>
    <w:p>
      <w:pPr>
        <w:spacing w:line="360" w:lineRule="auto"/>
        <w:ind w:firstLine="440" w:firstLineChars="200"/>
        <w:rPr>
          <w:rFonts w:hint="eastAsia" w:hAnsi="新宋体" w:eastAsia="新宋体"/>
          <w:color w:val="auto"/>
          <w:szCs w:val="22"/>
          <w:highlight w:val="none"/>
        </w:rPr>
      </w:pPr>
    </w:p>
    <w:p>
      <w:pPr>
        <w:spacing w:line="360" w:lineRule="auto"/>
        <w:ind w:firstLine="440" w:firstLineChars="200"/>
        <w:rPr>
          <w:rFonts w:hint="eastAsia" w:eastAsia="新宋体"/>
          <w:color w:val="auto"/>
          <w:szCs w:val="22"/>
          <w:highlight w:val="none"/>
        </w:rPr>
      </w:pPr>
    </w:p>
    <w:p>
      <w:pPr>
        <w:spacing w:line="360" w:lineRule="auto"/>
        <w:ind w:firstLine="440" w:firstLineChars="200"/>
        <w:rPr>
          <w:rFonts w:hint="eastAsia" w:eastAsia="新宋体"/>
          <w:color w:val="auto"/>
          <w:szCs w:val="22"/>
          <w:highlight w:val="none"/>
        </w:rPr>
      </w:pPr>
    </w:p>
    <w:p>
      <w:pPr>
        <w:spacing w:line="360" w:lineRule="auto"/>
        <w:ind w:firstLine="440" w:firstLineChars="200"/>
        <w:rPr>
          <w:rFonts w:hint="eastAsia" w:eastAsia="新宋体"/>
          <w:color w:val="auto"/>
          <w:szCs w:val="22"/>
          <w:highlight w:val="none"/>
        </w:rPr>
      </w:pPr>
    </w:p>
    <w:p>
      <w:pPr>
        <w:snapToGrid w:val="0"/>
        <w:spacing w:line="360" w:lineRule="auto"/>
        <w:ind w:right="480"/>
        <w:rPr>
          <w:rFonts w:hint="eastAsia" w:eastAsia="新宋体"/>
          <w:color w:val="auto"/>
          <w:szCs w:val="22"/>
          <w:highlight w:val="none"/>
        </w:rPr>
      </w:pPr>
      <w:r>
        <w:rPr>
          <w:rFonts w:hint="eastAsia" w:hAnsi="新宋体" w:eastAsia="新宋体"/>
          <w:color w:val="auto"/>
          <w:szCs w:val="22"/>
          <w:highlight w:val="none"/>
        </w:rPr>
        <w:t>地址：</w:t>
      </w:r>
      <w:r>
        <w:rPr>
          <w:rFonts w:hint="eastAsia" w:hAnsi="新宋体" w:eastAsia="新宋体"/>
          <w:color w:val="auto"/>
          <w:szCs w:val="22"/>
          <w:highlight w:val="none"/>
          <w:u w:val="single"/>
        </w:rPr>
        <w:t>　　　　　　　　　　</w:t>
      </w:r>
      <w:r>
        <w:rPr>
          <w:rFonts w:hint="eastAsia" w:hAnsi="新宋体" w:eastAsia="新宋体"/>
          <w:color w:val="auto"/>
          <w:szCs w:val="22"/>
          <w:highlight w:val="none"/>
        </w:rPr>
        <w:t>　　　　　邮编：</w:t>
      </w:r>
      <w:r>
        <w:rPr>
          <w:rFonts w:hint="eastAsia" w:hAnsi="新宋体" w:eastAsia="新宋体"/>
          <w:color w:val="auto"/>
          <w:szCs w:val="22"/>
          <w:highlight w:val="none"/>
          <w:u w:val="single"/>
        </w:rPr>
        <w:t>　　　　　　　</w:t>
      </w:r>
    </w:p>
    <w:p>
      <w:pPr>
        <w:snapToGrid w:val="0"/>
        <w:spacing w:line="360" w:lineRule="auto"/>
        <w:ind w:right="480"/>
        <w:rPr>
          <w:rFonts w:hint="eastAsia" w:eastAsia="新宋体"/>
          <w:color w:val="auto"/>
          <w:szCs w:val="22"/>
          <w:highlight w:val="none"/>
        </w:rPr>
      </w:pPr>
      <w:r>
        <w:rPr>
          <w:rFonts w:hint="eastAsia" w:hAnsi="新宋体" w:eastAsia="新宋体"/>
          <w:color w:val="auto"/>
          <w:szCs w:val="22"/>
          <w:highlight w:val="none"/>
        </w:rPr>
        <w:t>电话：</w:t>
      </w:r>
      <w:r>
        <w:rPr>
          <w:rFonts w:hint="eastAsia" w:hAnsi="新宋体" w:eastAsia="新宋体"/>
          <w:color w:val="auto"/>
          <w:szCs w:val="22"/>
          <w:highlight w:val="none"/>
          <w:u w:val="single"/>
        </w:rPr>
        <w:t>　　　　　    　　　</w:t>
      </w:r>
      <w:r>
        <w:rPr>
          <w:rFonts w:hint="eastAsia" w:hAnsi="新宋体" w:eastAsia="新宋体"/>
          <w:color w:val="auto"/>
          <w:szCs w:val="22"/>
          <w:highlight w:val="none"/>
        </w:rPr>
        <w:t>　　　    传真：</w:t>
      </w:r>
      <w:r>
        <w:rPr>
          <w:rFonts w:hint="eastAsia" w:hAnsi="新宋体" w:eastAsia="新宋体"/>
          <w:color w:val="auto"/>
          <w:szCs w:val="22"/>
          <w:highlight w:val="none"/>
          <w:u w:val="single"/>
        </w:rPr>
        <w:t>　　  　　　　</w:t>
      </w:r>
    </w:p>
    <w:p>
      <w:pPr>
        <w:snapToGrid w:val="0"/>
        <w:spacing w:line="360" w:lineRule="auto"/>
        <w:ind w:right="480"/>
        <w:rPr>
          <w:rFonts w:hint="eastAsia" w:eastAsia="新宋体"/>
          <w:color w:val="auto"/>
          <w:szCs w:val="22"/>
          <w:highlight w:val="none"/>
        </w:rPr>
      </w:pPr>
      <w:r>
        <w:rPr>
          <w:rFonts w:hint="eastAsia" w:hAnsi="新宋体" w:eastAsia="新宋体"/>
          <w:color w:val="auto"/>
          <w:szCs w:val="22"/>
          <w:highlight w:val="none"/>
        </w:rPr>
        <w:t>供应商授权代表姓名职务：</w:t>
      </w:r>
      <w:r>
        <w:rPr>
          <w:rFonts w:hint="eastAsia" w:hAnsi="新宋体" w:eastAsia="新宋体"/>
          <w:color w:val="auto"/>
          <w:szCs w:val="22"/>
          <w:highlight w:val="none"/>
          <w:u w:val="single"/>
        </w:rPr>
        <w:t>　　　   　　　</w:t>
      </w:r>
    </w:p>
    <w:p>
      <w:pPr>
        <w:tabs>
          <w:tab w:val="left" w:pos="1260"/>
        </w:tabs>
        <w:spacing w:line="360" w:lineRule="auto"/>
        <w:ind w:right="480"/>
        <w:rPr>
          <w:rFonts w:hint="eastAsia" w:eastAsia="新宋体"/>
          <w:color w:val="auto"/>
          <w:szCs w:val="22"/>
          <w:highlight w:val="none"/>
          <w:u w:val="single"/>
        </w:rPr>
      </w:pPr>
      <w:r>
        <w:rPr>
          <w:rFonts w:hint="eastAsia" w:hAnsi="新宋体" w:eastAsia="新宋体"/>
          <w:color w:val="auto"/>
          <w:szCs w:val="22"/>
          <w:highlight w:val="none"/>
        </w:rPr>
        <w:t>供应商名称（公章）：</w:t>
      </w:r>
      <w:r>
        <w:rPr>
          <w:rFonts w:hint="eastAsia" w:hAnsi="新宋体" w:eastAsia="新宋体"/>
          <w:color w:val="auto"/>
          <w:szCs w:val="22"/>
          <w:highlight w:val="none"/>
          <w:u w:val="single"/>
        </w:rPr>
        <w:t>　　　       　　　</w:t>
      </w:r>
    </w:p>
    <w:p>
      <w:pPr>
        <w:tabs>
          <w:tab w:val="left" w:pos="1260"/>
        </w:tabs>
        <w:spacing w:line="360" w:lineRule="auto"/>
        <w:ind w:right="480"/>
        <w:rPr>
          <w:rFonts w:hint="eastAsia" w:hAnsi="新宋体" w:eastAsia="新宋体"/>
          <w:color w:val="auto"/>
          <w:szCs w:val="22"/>
          <w:highlight w:val="none"/>
        </w:rPr>
      </w:pPr>
      <w:r>
        <w:rPr>
          <w:rFonts w:hint="eastAsia" w:hAnsi="新宋体" w:eastAsia="新宋体"/>
          <w:color w:val="auto"/>
          <w:szCs w:val="22"/>
          <w:highlight w:val="none"/>
        </w:rPr>
        <w:t>法定代表人或授权代表（签字或盖章）：</w:t>
      </w:r>
    </w:p>
    <w:p>
      <w:pPr>
        <w:pStyle w:val="24"/>
        <w:adjustRightInd w:val="0"/>
        <w:snapToGrid w:val="0"/>
        <w:spacing w:line="400" w:lineRule="exact"/>
        <w:ind w:left="5500"/>
        <w:rPr>
          <w:rFonts w:hint="eastAsia" w:hAnsi="宋体"/>
          <w:color w:val="auto"/>
          <w:sz w:val="24"/>
          <w:highlight w:val="none"/>
        </w:rPr>
      </w:pPr>
    </w:p>
    <w:p>
      <w:pPr>
        <w:pStyle w:val="24"/>
        <w:snapToGrid w:val="0"/>
        <w:spacing w:line="324" w:lineRule="auto"/>
        <w:jc w:val="center"/>
        <w:rPr>
          <w:rFonts w:hint="eastAsia" w:hAnsi="宋体" w:cs="宋体"/>
          <w:b/>
          <w:color w:val="auto"/>
          <w:sz w:val="30"/>
          <w:highlight w:val="none"/>
        </w:rPr>
      </w:pPr>
    </w:p>
    <w:p>
      <w:pPr>
        <w:pStyle w:val="24"/>
        <w:snapToGrid w:val="0"/>
        <w:spacing w:line="324" w:lineRule="auto"/>
        <w:jc w:val="center"/>
        <w:rPr>
          <w:rFonts w:hint="eastAsia" w:hAnsi="宋体" w:cs="宋体"/>
          <w:b/>
          <w:color w:val="auto"/>
          <w:sz w:val="30"/>
          <w:highlight w:val="none"/>
        </w:rPr>
      </w:pPr>
    </w:p>
    <w:p>
      <w:pPr>
        <w:pStyle w:val="24"/>
        <w:snapToGrid w:val="0"/>
        <w:spacing w:line="324" w:lineRule="auto"/>
        <w:jc w:val="center"/>
        <w:rPr>
          <w:rFonts w:hint="eastAsia" w:hAnsi="宋体" w:cs="宋体"/>
          <w:b/>
          <w:color w:val="auto"/>
          <w:sz w:val="30"/>
          <w:highlight w:val="none"/>
        </w:rPr>
      </w:pPr>
    </w:p>
    <w:p>
      <w:pPr>
        <w:pStyle w:val="24"/>
        <w:snapToGrid w:val="0"/>
        <w:spacing w:line="324" w:lineRule="auto"/>
        <w:jc w:val="center"/>
        <w:rPr>
          <w:rFonts w:hint="eastAsia" w:hAnsi="宋体" w:cs="宋体"/>
          <w:b/>
          <w:color w:val="auto"/>
          <w:sz w:val="30"/>
          <w:highlight w:val="none"/>
        </w:rPr>
      </w:pPr>
    </w:p>
    <w:p>
      <w:pPr>
        <w:pStyle w:val="24"/>
        <w:snapToGrid w:val="0"/>
        <w:spacing w:line="324" w:lineRule="auto"/>
        <w:jc w:val="center"/>
        <w:rPr>
          <w:rFonts w:hint="eastAsia" w:hAnsi="宋体" w:cs="宋体"/>
          <w:b/>
          <w:color w:val="auto"/>
          <w:sz w:val="30"/>
          <w:highlight w:val="none"/>
        </w:rPr>
      </w:pPr>
    </w:p>
    <w:p>
      <w:pPr>
        <w:pStyle w:val="24"/>
        <w:snapToGrid w:val="0"/>
        <w:spacing w:line="324" w:lineRule="auto"/>
        <w:jc w:val="center"/>
        <w:rPr>
          <w:rFonts w:hint="eastAsia" w:hAnsi="宋体" w:cs="宋体"/>
          <w:b/>
          <w:color w:val="auto"/>
          <w:sz w:val="30"/>
          <w:highlight w:val="none"/>
        </w:rPr>
      </w:pPr>
    </w:p>
    <w:p>
      <w:pPr>
        <w:pStyle w:val="24"/>
        <w:snapToGrid w:val="0"/>
        <w:spacing w:line="324" w:lineRule="auto"/>
        <w:jc w:val="center"/>
        <w:rPr>
          <w:rFonts w:hint="eastAsia" w:hAnsi="宋体" w:cs="宋体"/>
          <w:b/>
          <w:color w:val="auto"/>
          <w:sz w:val="30"/>
          <w:highlight w:val="none"/>
        </w:rPr>
      </w:pPr>
    </w:p>
    <w:p>
      <w:pPr>
        <w:pStyle w:val="24"/>
        <w:snapToGrid w:val="0"/>
        <w:spacing w:line="324" w:lineRule="auto"/>
        <w:jc w:val="center"/>
        <w:rPr>
          <w:rFonts w:hint="eastAsia" w:hAnsi="宋体" w:cs="宋体"/>
          <w:b/>
          <w:color w:val="auto"/>
          <w:sz w:val="30"/>
          <w:highlight w:val="none"/>
        </w:rPr>
      </w:pPr>
    </w:p>
    <w:p>
      <w:pPr>
        <w:pStyle w:val="24"/>
        <w:snapToGrid w:val="0"/>
        <w:spacing w:line="324" w:lineRule="auto"/>
        <w:jc w:val="center"/>
        <w:rPr>
          <w:rFonts w:hint="eastAsia" w:hAnsi="宋体" w:cs="宋体"/>
          <w:b/>
          <w:color w:val="auto"/>
          <w:sz w:val="30"/>
          <w:highlight w:val="none"/>
        </w:rPr>
      </w:pPr>
    </w:p>
    <w:p>
      <w:pPr>
        <w:pStyle w:val="24"/>
        <w:snapToGrid w:val="0"/>
        <w:spacing w:line="324" w:lineRule="auto"/>
        <w:jc w:val="center"/>
        <w:rPr>
          <w:rFonts w:hint="eastAsia" w:hAnsi="宋体" w:cs="宋体"/>
          <w:b/>
          <w:color w:val="auto"/>
          <w:sz w:val="30"/>
          <w:highlight w:val="none"/>
        </w:rPr>
      </w:pPr>
    </w:p>
    <w:p>
      <w:pPr>
        <w:pStyle w:val="24"/>
        <w:snapToGrid w:val="0"/>
        <w:spacing w:line="324" w:lineRule="auto"/>
        <w:jc w:val="center"/>
        <w:rPr>
          <w:rFonts w:hint="eastAsia" w:hAnsi="宋体" w:cs="宋体"/>
          <w:b/>
          <w:color w:val="auto"/>
          <w:sz w:val="30"/>
          <w:highlight w:val="none"/>
        </w:rPr>
      </w:pPr>
    </w:p>
    <w:p>
      <w:pPr>
        <w:pStyle w:val="24"/>
        <w:snapToGrid w:val="0"/>
        <w:spacing w:line="324" w:lineRule="auto"/>
        <w:jc w:val="center"/>
        <w:rPr>
          <w:rFonts w:hint="eastAsia" w:hAnsi="宋体" w:cs="宋体"/>
          <w:b/>
          <w:color w:val="auto"/>
          <w:sz w:val="30"/>
          <w:highlight w:val="none"/>
        </w:rPr>
      </w:pPr>
      <w:r>
        <w:rPr>
          <w:rFonts w:hint="eastAsia" w:hAnsi="宋体" w:cs="宋体"/>
          <w:b/>
          <w:color w:val="auto"/>
          <w:sz w:val="30"/>
          <w:highlight w:val="none"/>
        </w:rPr>
        <w:t>诚信投标承诺书</w:t>
      </w:r>
    </w:p>
    <w:p>
      <w:pPr>
        <w:spacing w:line="520" w:lineRule="exact"/>
        <w:ind w:right="-161" w:rightChars="-73"/>
        <w:rPr>
          <w:rFonts w:hint="eastAsia" w:ascii="宋体" w:hAnsi="宋体" w:cs="宋体"/>
          <w:color w:val="auto"/>
          <w:szCs w:val="22"/>
          <w:highlight w:val="none"/>
        </w:rPr>
      </w:pPr>
      <w:r>
        <w:rPr>
          <w:rFonts w:hint="eastAsia" w:ascii="宋体" w:hAnsi="宋体" w:cs="宋体"/>
          <w:color w:val="auto"/>
          <w:szCs w:val="22"/>
          <w:highlight w:val="none"/>
        </w:rPr>
        <w:t>本企业郑重承诺：</w:t>
      </w:r>
    </w:p>
    <w:p>
      <w:pPr>
        <w:spacing w:line="500" w:lineRule="exact"/>
        <w:ind w:firstLine="440" w:firstLineChars="200"/>
        <w:rPr>
          <w:rFonts w:hint="eastAsia" w:ascii="宋体" w:hAnsi="宋体" w:cs="宋体"/>
          <w:color w:val="auto"/>
          <w:szCs w:val="22"/>
          <w:highlight w:val="none"/>
        </w:rPr>
      </w:pPr>
      <w:r>
        <w:rPr>
          <w:rFonts w:hint="eastAsia" w:ascii="宋体" w:hAnsi="宋体" w:cs="宋体"/>
          <w:color w:val="auto"/>
          <w:szCs w:val="22"/>
          <w:highlight w:val="none"/>
        </w:rPr>
        <w:t>为了积极配合采购人组织的</w:t>
      </w:r>
      <w:r>
        <w:rPr>
          <w:rFonts w:hint="eastAsia" w:ascii="宋体" w:hAnsi="宋体" w:cs="宋体"/>
          <w:color w:val="auto"/>
          <w:szCs w:val="22"/>
          <w:highlight w:val="none"/>
          <w:u w:val="single"/>
        </w:rPr>
        <w:t xml:space="preserve"> （项目名称） </w:t>
      </w:r>
      <w:r>
        <w:rPr>
          <w:rFonts w:hint="eastAsia" w:ascii="宋体" w:hAnsi="宋体" w:cs="宋体"/>
          <w:color w:val="auto"/>
          <w:szCs w:val="22"/>
          <w:highlight w:val="none"/>
        </w:rPr>
        <w:t>招标工作，有效遏制不公平竞争和违规违纪问题的发生，确保招标工作的公平、公正、公开，我们保证认真贯彻《平阳县国有企业采购管理办法（试行）》、《政府采购货物和服务招标投标管理办法》和《关于进一步规范政府采购活动的若干意见》等法律及有关法规相关规定以及有关廉洁要求，特承诺如下事项：</w:t>
      </w:r>
    </w:p>
    <w:p>
      <w:pPr>
        <w:snapToGrid w:val="0"/>
        <w:spacing w:line="500" w:lineRule="exact"/>
        <w:ind w:firstLine="385" w:firstLineChars="175"/>
        <w:rPr>
          <w:rFonts w:hint="eastAsia" w:ascii="宋体" w:hAnsi="宋体" w:cs="宋体"/>
          <w:color w:val="auto"/>
          <w:szCs w:val="22"/>
          <w:highlight w:val="none"/>
        </w:rPr>
      </w:pPr>
      <w:r>
        <w:rPr>
          <w:rFonts w:hint="eastAsia" w:ascii="宋体" w:hAnsi="宋体" w:cs="宋体"/>
          <w:color w:val="auto"/>
          <w:szCs w:val="22"/>
          <w:highlight w:val="none"/>
        </w:rPr>
        <w:t>1、自觉遵守国家法律法规及有关廉政建设制度。</w:t>
      </w:r>
    </w:p>
    <w:p>
      <w:pPr>
        <w:snapToGrid w:val="0"/>
        <w:spacing w:line="500" w:lineRule="exact"/>
        <w:ind w:firstLine="385" w:firstLineChars="175"/>
        <w:rPr>
          <w:rFonts w:hint="eastAsia" w:ascii="宋体" w:hAnsi="宋体" w:cs="宋体"/>
          <w:color w:val="auto"/>
          <w:szCs w:val="22"/>
          <w:highlight w:val="none"/>
        </w:rPr>
      </w:pPr>
      <w:r>
        <w:rPr>
          <w:rFonts w:hint="eastAsia" w:ascii="宋体" w:hAnsi="宋体" w:cs="宋体"/>
          <w:color w:val="auto"/>
          <w:szCs w:val="22"/>
          <w:highlight w:val="none"/>
        </w:rPr>
        <w:t>2、主动了解招标人招投标纪律，积极配合招标人执行招投标廉政建设的有关规定。</w:t>
      </w:r>
    </w:p>
    <w:p>
      <w:pPr>
        <w:snapToGrid w:val="0"/>
        <w:spacing w:line="500" w:lineRule="exact"/>
        <w:ind w:firstLine="385" w:firstLineChars="175"/>
        <w:rPr>
          <w:rFonts w:hint="eastAsia" w:ascii="宋体" w:hAnsi="宋体" w:cs="宋体"/>
          <w:color w:val="auto"/>
          <w:szCs w:val="22"/>
          <w:highlight w:val="none"/>
        </w:rPr>
      </w:pPr>
      <w:r>
        <w:rPr>
          <w:rFonts w:hint="eastAsia" w:ascii="宋体" w:hAnsi="宋体" w:cs="宋体"/>
          <w:color w:val="auto"/>
          <w:szCs w:val="22"/>
          <w:highlight w:val="none"/>
        </w:rPr>
        <w:t>3、不使用不正当手段妨碍、排挤其它供应商或串通投标。</w:t>
      </w:r>
    </w:p>
    <w:p>
      <w:pPr>
        <w:snapToGrid w:val="0"/>
        <w:spacing w:line="500" w:lineRule="exact"/>
        <w:ind w:firstLine="385" w:firstLineChars="175"/>
        <w:rPr>
          <w:rFonts w:hint="eastAsia" w:ascii="宋体" w:hAnsi="宋体" w:cs="宋体"/>
          <w:color w:val="auto"/>
          <w:szCs w:val="22"/>
          <w:highlight w:val="none"/>
        </w:rPr>
      </w:pPr>
      <w:r>
        <w:rPr>
          <w:rFonts w:hint="eastAsia" w:ascii="宋体" w:hAnsi="宋体" w:cs="宋体"/>
          <w:color w:val="auto"/>
          <w:szCs w:val="22"/>
          <w:highlight w:val="none"/>
        </w:rPr>
        <w:t>4、按照本招标文件规定的方式进行投标，不隐瞒本单位投标资质的真实情况，投标资质符合规定。</w:t>
      </w:r>
    </w:p>
    <w:p>
      <w:pPr>
        <w:snapToGrid w:val="0"/>
        <w:spacing w:line="500" w:lineRule="exact"/>
        <w:ind w:firstLine="385" w:firstLineChars="175"/>
        <w:rPr>
          <w:rFonts w:hint="eastAsia" w:ascii="宋体" w:hAnsi="宋体" w:cs="宋体"/>
          <w:color w:val="auto"/>
          <w:szCs w:val="22"/>
          <w:highlight w:val="none"/>
        </w:rPr>
      </w:pPr>
      <w:r>
        <w:rPr>
          <w:rFonts w:hint="eastAsia" w:ascii="宋体" w:hAnsi="宋体" w:cs="宋体"/>
          <w:color w:val="auto"/>
          <w:szCs w:val="22"/>
          <w:highlight w:val="none"/>
        </w:rPr>
        <w:t>5、不以任何方式向招标人员赠送礼品、礼金及有价证券；不宴请或邀请招标人的任何人参加高档娱乐消费、旅游、考察、参观等活动；不以任何形式报销招标人的任何人以及亲友的各种票据及费用；不进行可能影响招投标公平、公正的任何活动。</w:t>
      </w:r>
    </w:p>
    <w:p>
      <w:pPr>
        <w:snapToGrid w:val="0"/>
        <w:spacing w:line="500" w:lineRule="exact"/>
        <w:ind w:firstLine="385" w:firstLineChars="175"/>
        <w:rPr>
          <w:rFonts w:hint="eastAsia" w:ascii="宋体" w:hAnsi="宋体" w:cs="宋体"/>
          <w:color w:val="auto"/>
          <w:szCs w:val="22"/>
          <w:highlight w:val="none"/>
        </w:rPr>
      </w:pPr>
      <w:r>
        <w:rPr>
          <w:rFonts w:hint="eastAsia" w:ascii="宋体" w:hAnsi="宋体" w:cs="宋体"/>
          <w:color w:val="auto"/>
          <w:szCs w:val="22"/>
          <w:highlight w:val="none"/>
        </w:rPr>
        <w:t>6、不向招标人及个人购置或提供通讯工具、交通工具和高档办公用品等。</w:t>
      </w:r>
    </w:p>
    <w:p>
      <w:pPr>
        <w:snapToGrid w:val="0"/>
        <w:spacing w:line="500" w:lineRule="exact"/>
        <w:ind w:firstLine="385" w:firstLineChars="175"/>
        <w:rPr>
          <w:rFonts w:hint="eastAsia" w:ascii="宋体" w:hAnsi="宋体" w:cs="宋体"/>
          <w:color w:val="auto"/>
          <w:szCs w:val="22"/>
          <w:highlight w:val="none"/>
        </w:rPr>
      </w:pPr>
      <w:r>
        <w:rPr>
          <w:rFonts w:hint="eastAsia" w:ascii="宋体" w:hAnsi="宋体" w:cs="宋体"/>
          <w:color w:val="auto"/>
          <w:szCs w:val="22"/>
          <w:highlight w:val="none"/>
        </w:rPr>
        <w:t>7、不向招标人涉及招标的人员的配偶、子女分包此次招标项目。</w:t>
      </w:r>
    </w:p>
    <w:p>
      <w:pPr>
        <w:snapToGrid w:val="0"/>
        <w:spacing w:line="500" w:lineRule="exact"/>
        <w:ind w:firstLine="385" w:firstLineChars="175"/>
        <w:rPr>
          <w:rFonts w:hint="eastAsia" w:ascii="宋体" w:hAnsi="宋体" w:cs="宋体"/>
          <w:color w:val="auto"/>
          <w:szCs w:val="22"/>
          <w:highlight w:val="none"/>
        </w:rPr>
      </w:pPr>
      <w:r>
        <w:rPr>
          <w:rFonts w:hint="eastAsia" w:ascii="宋体" w:hAnsi="宋体" w:cs="宋体"/>
          <w:color w:val="auto"/>
          <w:szCs w:val="22"/>
          <w:highlight w:val="none"/>
        </w:rPr>
        <w:t>8、不向招标人及个人支付好处费、介绍费。</w:t>
      </w:r>
    </w:p>
    <w:p>
      <w:pPr>
        <w:snapToGrid w:val="0"/>
        <w:spacing w:line="500" w:lineRule="exact"/>
        <w:ind w:firstLine="385" w:firstLineChars="175"/>
        <w:rPr>
          <w:rFonts w:hint="eastAsia" w:ascii="宋体" w:hAnsi="宋体" w:cs="宋体"/>
          <w:color w:val="auto"/>
          <w:szCs w:val="22"/>
          <w:highlight w:val="none"/>
        </w:rPr>
      </w:pPr>
      <w:r>
        <w:rPr>
          <w:rFonts w:hint="eastAsia" w:ascii="宋体" w:hAnsi="宋体" w:cs="宋体"/>
          <w:color w:val="auto"/>
          <w:szCs w:val="22"/>
          <w:highlight w:val="none"/>
        </w:rPr>
        <w:t>9、一旦发现相关人员在招标过程中的索要财物等不廉洁行为，坚决予以抵制，并及时向有关纪检监察部门举报。</w:t>
      </w:r>
    </w:p>
    <w:p>
      <w:pPr>
        <w:snapToGrid w:val="0"/>
        <w:spacing w:line="500" w:lineRule="exact"/>
        <w:ind w:firstLine="385" w:firstLineChars="175"/>
        <w:rPr>
          <w:rFonts w:hint="eastAsia" w:ascii="宋体" w:hAnsi="宋体" w:cs="宋体"/>
          <w:color w:val="auto"/>
          <w:szCs w:val="22"/>
          <w:highlight w:val="none"/>
        </w:rPr>
      </w:pPr>
      <w:r>
        <w:rPr>
          <w:rFonts w:hint="eastAsia" w:ascii="宋体" w:hAnsi="宋体" w:cs="宋体"/>
          <w:color w:val="auto"/>
          <w:szCs w:val="22"/>
          <w:highlight w:val="none"/>
        </w:rPr>
        <w:t>10、我们若违反上述承诺，愿接受取消供应商中标资格及其他任何形式的处理。</w:t>
      </w:r>
    </w:p>
    <w:p>
      <w:pPr>
        <w:snapToGrid w:val="0"/>
        <w:spacing w:line="500" w:lineRule="exact"/>
        <w:ind w:firstLine="385" w:firstLineChars="175"/>
        <w:rPr>
          <w:rFonts w:hint="eastAsia" w:ascii="宋体" w:hAnsi="宋体" w:cs="宋体"/>
          <w:color w:val="auto"/>
          <w:szCs w:val="22"/>
          <w:highlight w:val="none"/>
        </w:rPr>
      </w:pPr>
    </w:p>
    <w:p>
      <w:pPr>
        <w:spacing w:line="440" w:lineRule="exact"/>
        <w:rPr>
          <w:rFonts w:hint="eastAsia" w:ascii="宋体" w:hAnsi="宋体" w:cs="宋体"/>
          <w:color w:val="auto"/>
          <w:szCs w:val="22"/>
          <w:highlight w:val="none"/>
        </w:rPr>
      </w:pPr>
      <w:r>
        <w:rPr>
          <w:rFonts w:hint="eastAsia" w:ascii="宋体" w:hAnsi="宋体" w:cs="宋体"/>
          <w:color w:val="auto"/>
          <w:szCs w:val="22"/>
          <w:highlight w:val="none"/>
        </w:rPr>
        <w:t>供应商全称(盖章)</w:t>
      </w:r>
      <w:r>
        <w:rPr>
          <w:rFonts w:hint="eastAsia" w:ascii="宋体" w:hAnsi="宋体" w:cs="宋体"/>
          <w:color w:val="auto"/>
          <w:szCs w:val="22"/>
          <w:highlight w:val="none"/>
          <w:u w:val="single"/>
        </w:rPr>
        <w:t xml:space="preserve">                    </w:t>
      </w:r>
    </w:p>
    <w:p>
      <w:pPr>
        <w:spacing w:line="440" w:lineRule="exact"/>
        <w:rPr>
          <w:rFonts w:hint="eastAsia" w:ascii="宋体" w:hAnsi="宋体" w:cs="宋体"/>
          <w:color w:val="auto"/>
          <w:szCs w:val="22"/>
          <w:highlight w:val="none"/>
          <w:u w:val="single"/>
        </w:rPr>
      </w:pPr>
      <w:r>
        <w:rPr>
          <w:rFonts w:hint="eastAsia" w:ascii="宋体" w:hAnsi="宋体" w:cs="宋体"/>
          <w:color w:val="auto"/>
          <w:szCs w:val="22"/>
          <w:highlight w:val="none"/>
        </w:rPr>
        <w:t>法定代表人或授权代表（签字或签章）</w:t>
      </w:r>
      <w:r>
        <w:rPr>
          <w:rFonts w:hint="eastAsia" w:ascii="宋体" w:hAnsi="宋体" w:cs="宋体"/>
          <w:color w:val="auto"/>
          <w:szCs w:val="22"/>
          <w:highlight w:val="none"/>
          <w:u w:val="single"/>
        </w:rPr>
        <w:t xml:space="preserve">          </w:t>
      </w:r>
    </w:p>
    <w:p>
      <w:pPr>
        <w:spacing w:line="520" w:lineRule="exact"/>
        <w:ind w:right="-161" w:rightChars="-73"/>
        <w:rPr>
          <w:rFonts w:hint="eastAsia" w:ascii="宋体" w:hAnsi="宋体" w:cs="宋体"/>
          <w:color w:val="auto"/>
          <w:szCs w:val="22"/>
          <w:highlight w:val="none"/>
        </w:rPr>
      </w:pPr>
      <w:r>
        <w:rPr>
          <w:rFonts w:hint="eastAsia" w:ascii="宋体" w:hAnsi="宋体" w:cs="宋体"/>
          <w:color w:val="auto"/>
          <w:szCs w:val="22"/>
          <w:highlight w:val="none"/>
        </w:rPr>
        <w:t>日 期</w:t>
      </w:r>
      <w:r>
        <w:rPr>
          <w:rFonts w:hint="eastAsia" w:ascii="宋体" w:hAnsi="宋体" w:cs="宋体"/>
          <w:color w:val="auto"/>
          <w:szCs w:val="22"/>
          <w:highlight w:val="none"/>
          <w:u w:val="single"/>
        </w:rPr>
        <w:t xml:space="preserve">                               </w:t>
      </w:r>
    </w:p>
    <w:p>
      <w:pPr>
        <w:spacing w:line="520" w:lineRule="exact"/>
        <w:ind w:left="-183" w:leftChars="-83" w:right="-161" w:rightChars="-73" w:firstLine="173" w:firstLineChars="79"/>
        <w:rPr>
          <w:rFonts w:hint="eastAsia" w:ascii="宋体" w:hAnsi="宋体" w:cs="宋体"/>
          <w:color w:val="auto"/>
          <w:szCs w:val="22"/>
          <w:highlight w:val="none"/>
        </w:rPr>
      </w:pPr>
    </w:p>
    <w:p>
      <w:pPr>
        <w:pStyle w:val="24"/>
        <w:spacing w:line="460" w:lineRule="atLeast"/>
        <w:rPr>
          <w:rFonts w:hint="eastAsia" w:hAnsi="宋体" w:cs="宋体"/>
          <w:color w:val="auto"/>
          <w:szCs w:val="22"/>
          <w:highlight w:val="none"/>
        </w:rPr>
      </w:pPr>
    </w:p>
    <w:p>
      <w:pPr>
        <w:pStyle w:val="24"/>
        <w:spacing w:line="460" w:lineRule="atLeast"/>
        <w:rPr>
          <w:rFonts w:hint="eastAsia" w:hAnsi="宋体" w:cs="宋体"/>
          <w:color w:val="auto"/>
          <w:szCs w:val="22"/>
          <w:highlight w:val="none"/>
        </w:rPr>
      </w:pPr>
    </w:p>
    <w:p>
      <w:pPr>
        <w:pStyle w:val="24"/>
        <w:spacing w:line="460" w:lineRule="atLeast"/>
        <w:rPr>
          <w:rFonts w:hint="eastAsia" w:hAnsi="宋体" w:cs="宋体"/>
          <w:color w:val="auto"/>
          <w:szCs w:val="22"/>
          <w:highlight w:val="none"/>
        </w:rPr>
      </w:pPr>
    </w:p>
    <w:p>
      <w:pPr>
        <w:pStyle w:val="24"/>
        <w:spacing w:line="460" w:lineRule="atLeast"/>
        <w:rPr>
          <w:rFonts w:hint="eastAsia" w:hAnsi="宋体" w:cs="宋体"/>
          <w:color w:val="auto"/>
          <w:szCs w:val="22"/>
          <w:highlight w:val="none"/>
        </w:rPr>
      </w:pPr>
    </w:p>
    <w:p>
      <w:pPr>
        <w:pStyle w:val="24"/>
        <w:spacing w:line="460" w:lineRule="atLeast"/>
        <w:rPr>
          <w:rFonts w:hint="eastAsia" w:hAnsi="宋体" w:cs="宋体"/>
          <w:b/>
          <w:color w:val="auto"/>
          <w:sz w:val="32"/>
          <w:highlight w:val="none"/>
        </w:rPr>
      </w:pPr>
    </w:p>
    <w:p>
      <w:pPr>
        <w:pStyle w:val="24"/>
        <w:snapToGrid w:val="0"/>
        <w:spacing w:line="400" w:lineRule="exact"/>
        <w:jc w:val="center"/>
        <w:rPr>
          <w:rFonts w:hint="eastAsia" w:hAnsi="宋体" w:cs="宋体"/>
          <w:b/>
          <w:color w:val="auto"/>
          <w:sz w:val="24"/>
          <w:highlight w:val="none"/>
        </w:rPr>
      </w:pPr>
      <w:r>
        <w:rPr>
          <w:rFonts w:hint="eastAsia" w:hAnsi="宋体" w:cs="宋体"/>
          <w:b/>
          <w:color w:val="auto"/>
          <w:sz w:val="24"/>
          <w:highlight w:val="none"/>
        </w:rPr>
        <w:t>技术资信评分项索引表（放置投标文件前端）</w:t>
      </w:r>
    </w:p>
    <w:p>
      <w:pPr>
        <w:pStyle w:val="24"/>
        <w:snapToGrid w:val="0"/>
        <w:spacing w:line="400" w:lineRule="exact"/>
        <w:jc w:val="center"/>
        <w:rPr>
          <w:rFonts w:hint="eastAsia" w:hAnsi="宋体" w:cs="宋体"/>
          <w:color w:val="auto"/>
          <w:sz w:val="24"/>
          <w:highlight w:val="none"/>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747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序号</w:t>
            </w:r>
          </w:p>
        </w:tc>
        <w:tc>
          <w:tcPr>
            <w:tcW w:w="7470" w:type="dxa"/>
            <w:noWrap w:val="0"/>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评分项目</w:t>
            </w:r>
          </w:p>
        </w:tc>
        <w:tc>
          <w:tcPr>
            <w:tcW w:w="1340" w:type="dxa"/>
            <w:noWrap w:val="0"/>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投标文件索引（页码）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1</w:t>
            </w:r>
          </w:p>
        </w:tc>
        <w:tc>
          <w:tcPr>
            <w:tcW w:w="7470" w:type="dxa"/>
            <w:noWrap w:val="0"/>
            <w:vAlign w:val="center"/>
          </w:tcPr>
          <w:p>
            <w:pPr>
              <w:jc w:val="center"/>
              <w:rPr>
                <w:rFonts w:hint="eastAsia" w:ascii="宋体" w:hAnsi="宋体" w:cs="宋体"/>
                <w:color w:val="auto"/>
                <w:szCs w:val="22"/>
                <w:highlight w:val="none"/>
              </w:rPr>
            </w:pPr>
          </w:p>
        </w:tc>
        <w:tc>
          <w:tcPr>
            <w:tcW w:w="1340" w:type="dxa"/>
            <w:noWrap w:val="0"/>
            <w:vAlign w:val="center"/>
          </w:tcPr>
          <w:p>
            <w:pPr>
              <w:jc w:val="center"/>
              <w:rPr>
                <w:rFonts w:hint="eastAsia"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2</w:t>
            </w:r>
          </w:p>
        </w:tc>
        <w:tc>
          <w:tcPr>
            <w:tcW w:w="7470" w:type="dxa"/>
            <w:noWrap w:val="0"/>
            <w:vAlign w:val="center"/>
          </w:tcPr>
          <w:p>
            <w:pPr>
              <w:jc w:val="center"/>
              <w:rPr>
                <w:rFonts w:hint="eastAsia" w:ascii="宋体" w:hAnsi="宋体" w:cs="宋体"/>
                <w:color w:val="auto"/>
                <w:szCs w:val="22"/>
                <w:highlight w:val="none"/>
              </w:rPr>
            </w:pPr>
          </w:p>
        </w:tc>
        <w:tc>
          <w:tcPr>
            <w:tcW w:w="1340" w:type="dxa"/>
            <w:noWrap w:val="0"/>
            <w:vAlign w:val="center"/>
          </w:tcPr>
          <w:p>
            <w:pPr>
              <w:jc w:val="center"/>
              <w:rPr>
                <w:rFonts w:hint="eastAsia"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3</w:t>
            </w:r>
          </w:p>
        </w:tc>
        <w:tc>
          <w:tcPr>
            <w:tcW w:w="7470" w:type="dxa"/>
            <w:noWrap w:val="0"/>
            <w:vAlign w:val="center"/>
          </w:tcPr>
          <w:p>
            <w:pPr>
              <w:jc w:val="center"/>
              <w:rPr>
                <w:rFonts w:hint="eastAsia" w:ascii="宋体" w:hAnsi="宋体" w:cs="宋体"/>
                <w:color w:val="auto"/>
                <w:szCs w:val="22"/>
                <w:highlight w:val="none"/>
              </w:rPr>
            </w:pPr>
          </w:p>
        </w:tc>
        <w:tc>
          <w:tcPr>
            <w:tcW w:w="1340" w:type="dxa"/>
            <w:noWrap w:val="0"/>
            <w:vAlign w:val="center"/>
          </w:tcPr>
          <w:p>
            <w:pPr>
              <w:jc w:val="center"/>
              <w:rPr>
                <w:rFonts w:hint="eastAsia"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4</w:t>
            </w:r>
          </w:p>
        </w:tc>
        <w:tc>
          <w:tcPr>
            <w:tcW w:w="7470" w:type="dxa"/>
            <w:noWrap w:val="0"/>
            <w:vAlign w:val="center"/>
          </w:tcPr>
          <w:p>
            <w:pPr>
              <w:jc w:val="center"/>
              <w:rPr>
                <w:rFonts w:hint="eastAsia" w:ascii="宋体" w:hAnsi="宋体" w:cs="宋体"/>
                <w:color w:val="auto"/>
                <w:szCs w:val="22"/>
                <w:highlight w:val="none"/>
              </w:rPr>
            </w:pPr>
          </w:p>
        </w:tc>
        <w:tc>
          <w:tcPr>
            <w:tcW w:w="1340" w:type="dxa"/>
            <w:noWrap w:val="0"/>
            <w:vAlign w:val="center"/>
          </w:tcPr>
          <w:p>
            <w:pPr>
              <w:jc w:val="center"/>
              <w:rPr>
                <w:rFonts w:hint="eastAsia"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5</w:t>
            </w:r>
          </w:p>
        </w:tc>
        <w:tc>
          <w:tcPr>
            <w:tcW w:w="7470" w:type="dxa"/>
            <w:noWrap w:val="0"/>
            <w:vAlign w:val="center"/>
          </w:tcPr>
          <w:p>
            <w:pPr>
              <w:jc w:val="center"/>
              <w:rPr>
                <w:rFonts w:hint="eastAsia" w:ascii="宋体" w:hAnsi="宋体" w:cs="宋体"/>
                <w:color w:val="auto"/>
                <w:szCs w:val="22"/>
                <w:highlight w:val="none"/>
              </w:rPr>
            </w:pPr>
          </w:p>
        </w:tc>
        <w:tc>
          <w:tcPr>
            <w:tcW w:w="1340" w:type="dxa"/>
            <w:noWrap w:val="0"/>
            <w:vAlign w:val="center"/>
          </w:tcPr>
          <w:p>
            <w:pPr>
              <w:jc w:val="center"/>
              <w:rPr>
                <w:rFonts w:hint="eastAsia"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6</w:t>
            </w:r>
          </w:p>
        </w:tc>
        <w:tc>
          <w:tcPr>
            <w:tcW w:w="7470" w:type="dxa"/>
            <w:noWrap w:val="0"/>
            <w:vAlign w:val="center"/>
          </w:tcPr>
          <w:p>
            <w:pPr>
              <w:jc w:val="center"/>
              <w:rPr>
                <w:rFonts w:hint="eastAsia" w:ascii="宋体" w:hAnsi="宋体" w:cs="宋体"/>
                <w:color w:val="auto"/>
                <w:szCs w:val="22"/>
                <w:highlight w:val="none"/>
              </w:rPr>
            </w:pPr>
          </w:p>
        </w:tc>
        <w:tc>
          <w:tcPr>
            <w:tcW w:w="1340" w:type="dxa"/>
            <w:noWrap w:val="0"/>
            <w:vAlign w:val="center"/>
          </w:tcPr>
          <w:p>
            <w:pPr>
              <w:jc w:val="center"/>
              <w:rPr>
                <w:rFonts w:hint="eastAsia"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7</w:t>
            </w:r>
          </w:p>
        </w:tc>
        <w:tc>
          <w:tcPr>
            <w:tcW w:w="7470" w:type="dxa"/>
            <w:noWrap w:val="0"/>
            <w:vAlign w:val="center"/>
          </w:tcPr>
          <w:p>
            <w:pPr>
              <w:jc w:val="center"/>
              <w:rPr>
                <w:rFonts w:hint="eastAsia" w:ascii="宋体" w:hAnsi="宋体" w:cs="宋体"/>
                <w:color w:val="auto"/>
                <w:szCs w:val="22"/>
                <w:highlight w:val="none"/>
              </w:rPr>
            </w:pPr>
          </w:p>
        </w:tc>
        <w:tc>
          <w:tcPr>
            <w:tcW w:w="1340" w:type="dxa"/>
            <w:noWrap w:val="0"/>
            <w:vAlign w:val="center"/>
          </w:tcPr>
          <w:p>
            <w:pPr>
              <w:jc w:val="center"/>
              <w:rPr>
                <w:rFonts w:hint="eastAsia"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8</w:t>
            </w:r>
          </w:p>
        </w:tc>
        <w:tc>
          <w:tcPr>
            <w:tcW w:w="7470" w:type="dxa"/>
            <w:noWrap w:val="0"/>
            <w:vAlign w:val="center"/>
          </w:tcPr>
          <w:p>
            <w:pPr>
              <w:jc w:val="center"/>
              <w:rPr>
                <w:rFonts w:hint="eastAsia" w:ascii="宋体" w:hAnsi="宋体" w:cs="宋体"/>
                <w:color w:val="auto"/>
                <w:szCs w:val="22"/>
                <w:highlight w:val="none"/>
              </w:rPr>
            </w:pPr>
          </w:p>
        </w:tc>
        <w:tc>
          <w:tcPr>
            <w:tcW w:w="1340" w:type="dxa"/>
            <w:noWrap w:val="0"/>
            <w:vAlign w:val="center"/>
          </w:tcPr>
          <w:p>
            <w:pPr>
              <w:jc w:val="center"/>
              <w:rPr>
                <w:rFonts w:hint="eastAsia"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9</w:t>
            </w:r>
          </w:p>
        </w:tc>
        <w:tc>
          <w:tcPr>
            <w:tcW w:w="7470" w:type="dxa"/>
            <w:noWrap w:val="0"/>
            <w:vAlign w:val="center"/>
          </w:tcPr>
          <w:p>
            <w:pPr>
              <w:jc w:val="center"/>
              <w:rPr>
                <w:rFonts w:hint="eastAsia" w:ascii="宋体" w:hAnsi="宋体" w:cs="宋体"/>
                <w:color w:val="auto"/>
                <w:szCs w:val="22"/>
                <w:highlight w:val="none"/>
              </w:rPr>
            </w:pPr>
          </w:p>
        </w:tc>
        <w:tc>
          <w:tcPr>
            <w:tcW w:w="1340" w:type="dxa"/>
            <w:noWrap w:val="0"/>
            <w:vAlign w:val="center"/>
          </w:tcPr>
          <w:p>
            <w:pPr>
              <w:jc w:val="center"/>
              <w:rPr>
                <w:rFonts w:hint="eastAsia"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10</w:t>
            </w:r>
          </w:p>
        </w:tc>
        <w:tc>
          <w:tcPr>
            <w:tcW w:w="7470" w:type="dxa"/>
            <w:noWrap w:val="0"/>
            <w:vAlign w:val="center"/>
          </w:tcPr>
          <w:p>
            <w:pPr>
              <w:jc w:val="center"/>
              <w:rPr>
                <w:rFonts w:hint="eastAsia" w:ascii="宋体" w:hAnsi="宋体" w:cs="宋体"/>
                <w:color w:val="auto"/>
                <w:szCs w:val="22"/>
                <w:highlight w:val="none"/>
              </w:rPr>
            </w:pPr>
          </w:p>
        </w:tc>
        <w:tc>
          <w:tcPr>
            <w:tcW w:w="1340" w:type="dxa"/>
            <w:noWrap w:val="0"/>
            <w:vAlign w:val="center"/>
          </w:tcPr>
          <w:p>
            <w:pPr>
              <w:jc w:val="center"/>
              <w:rPr>
                <w:rFonts w:hint="eastAsia"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11</w:t>
            </w:r>
          </w:p>
        </w:tc>
        <w:tc>
          <w:tcPr>
            <w:tcW w:w="7470" w:type="dxa"/>
            <w:noWrap w:val="0"/>
            <w:vAlign w:val="center"/>
          </w:tcPr>
          <w:p>
            <w:pPr>
              <w:pStyle w:val="24"/>
              <w:spacing w:line="300" w:lineRule="exact"/>
              <w:rPr>
                <w:rFonts w:hint="eastAsia" w:hAnsi="宋体" w:cs="宋体"/>
                <w:color w:val="auto"/>
                <w:sz w:val="22"/>
                <w:szCs w:val="22"/>
                <w:highlight w:val="none"/>
              </w:rPr>
            </w:pPr>
          </w:p>
        </w:tc>
        <w:tc>
          <w:tcPr>
            <w:tcW w:w="1340" w:type="dxa"/>
            <w:noWrap w:val="0"/>
            <w:vAlign w:val="center"/>
          </w:tcPr>
          <w:p>
            <w:pPr>
              <w:jc w:val="center"/>
              <w:rPr>
                <w:rFonts w:hint="eastAsia"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auto"/>
                <w:szCs w:val="22"/>
                <w:highlight w:val="none"/>
              </w:rPr>
            </w:pPr>
          </w:p>
        </w:tc>
        <w:tc>
          <w:tcPr>
            <w:tcW w:w="7470" w:type="dxa"/>
            <w:noWrap w:val="0"/>
            <w:vAlign w:val="center"/>
          </w:tcPr>
          <w:p>
            <w:pPr>
              <w:pStyle w:val="24"/>
              <w:spacing w:line="300" w:lineRule="exact"/>
              <w:rPr>
                <w:rFonts w:hint="eastAsia" w:hAnsi="宋体" w:cs="宋体"/>
                <w:color w:val="auto"/>
                <w:sz w:val="22"/>
                <w:szCs w:val="22"/>
                <w:highlight w:val="none"/>
              </w:rPr>
            </w:pPr>
          </w:p>
        </w:tc>
        <w:tc>
          <w:tcPr>
            <w:tcW w:w="1340" w:type="dxa"/>
            <w:noWrap w:val="0"/>
            <w:vAlign w:val="center"/>
          </w:tcPr>
          <w:p>
            <w:pPr>
              <w:jc w:val="center"/>
              <w:rPr>
                <w:rFonts w:hint="eastAsia"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auto"/>
                <w:szCs w:val="22"/>
                <w:highlight w:val="none"/>
              </w:rPr>
            </w:pPr>
          </w:p>
        </w:tc>
        <w:tc>
          <w:tcPr>
            <w:tcW w:w="7470" w:type="dxa"/>
            <w:noWrap w:val="0"/>
            <w:vAlign w:val="center"/>
          </w:tcPr>
          <w:p>
            <w:pPr>
              <w:pStyle w:val="24"/>
              <w:spacing w:line="300" w:lineRule="exact"/>
              <w:rPr>
                <w:rFonts w:hint="eastAsia" w:hAnsi="宋体" w:cs="宋体"/>
                <w:color w:val="auto"/>
                <w:sz w:val="22"/>
                <w:szCs w:val="22"/>
                <w:highlight w:val="none"/>
              </w:rPr>
            </w:pPr>
          </w:p>
        </w:tc>
        <w:tc>
          <w:tcPr>
            <w:tcW w:w="1340" w:type="dxa"/>
            <w:noWrap w:val="0"/>
            <w:vAlign w:val="center"/>
          </w:tcPr>
          <w:p>
            <w:pPr>
              <w:jc w:val="center"/>
              <w:rPr>
                <w:rFonts w:hint="eastAsia" w:ascii="宋体" w:hAnsi="宋体" w:cs="宋体"/>
                <w:color w:val="auto"/>
                <w:szCs w:val="22"/>
                <w:highlight w:val="none"/>
              </w:rPr>
            </w:pPr>
          </w:p>
        </w:tc>
      </w:tr>
    </w:tbl>
    <w:p>
      <w:pPr>
        <w:pStyle w:val="24"/>
        <w:snapToGrid w:val="0"/>
        <w:spacing w:line="400" w:lineRule="exact"/>
        <w:rPr>
          <w:rFonts w:hint="eastAsia" w:hAnsi="宋体" w:cs="宋体"/>
          <w:color w:val="auto"/>
          <w:sz w:val="24"/>
          <w:highlight w:val="none"/>
        </w:rPr>
        <w:sectPr>
          <w:footerReference r:id="rId6" w:type="first"/>
          <w:headerReference r:id="rId4" w:type="default"/>
          <w:footerReference r:id="rId5" w:type="default"/>
          <w:pgSz w:w="11907" w:h="16840"/>
          <w:pgMar w:top="1134" w:right="1021" w:bottom="1134" w:left="1021" w:header="680" w:footer="567" w:gutter="0"/>
          <w:cols w:space="720" w:num="1"/>
          <w:titlePg/>
          <w:docGrid w:linePitch="312" w:charSpace="0"/>
        </w:sectPr>
      </w:pPr>
    </w:p>
    <w:p>
      <w:pPr>
        <w:autoSpaceDE w:val="0"/>
        <w:autoSpaceDN w:val="0"/>
        <w:adjustRightInd w:val="0"/>
        <w:snapToGrid w:val="0"/>
        <w:spacing w:line="400" w:lineRule="exact"/>
        <w:jc w:val="center"/>
        <w:textAlignment w:val="bottom"/>
        <w:rPr>
          <w:rFonts w:hint="eastAsia" w:ascii="宋体" w:hAnsi="宋体" w:cs="宋体"/>
          <w:color w:val="auto"/>
          <w:sz w:val="36"/>
          <w:highlight w:val="none"/>
        </w:rPr>
      </w:pPr>
      <w:r>
        <w:rPr>
          <w:rFonts w:hint="eastAsia" w:ascii="宋体" w:hAnsi="宋体" w:cs="宋体"/>
          <w:color w:val="auto"/>
          <w:sz w:val="36"/>
          <w:highlight w:val="none"/>
        </w:rPr>
        <w:t>第七部分   评标办法</w:t>
      </w:r>
    </w:p>
    <w:p>
      <w:pPr>
        <w:pStyle w:val="26"/>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根据《平阳县国有企业采购管理办法（试行）》等有关政府采购法规，结合本次采购的实际，按照公平、公正、科学、择优的原则选择中标供应商，特制定本评标办法。</w:t>
      </w:r>
    </w:p>
    <w:p>
      <w:pPr>
        <w:pStyle w:val="26"/>
        <w:adjustRightInd w:val="0"/>
        <w:snapToGrid w:val="0"/>
        <w:spacing w:line="400" w:lineRule="exact"/>
        <w:ind w:firstLine="0"/>
        <w:jc w:val="center"/>
        <w:rPr>
          <w:rFonts w:hint="eastAsia" w:hAnsi="宋体" w:cs="宋体"/>
          <w:color w:val="auto"/>
          <w:sz w:val="22"/>
          <w:szCs w:val="22"/>
          <w:highlight w:val="none"/>
        </w:rPr>
      </w:pPr>
      <w:r>
        <w:rPr>
          <w:rFonts w:hint="eastAsia" w:hAnsi="宋体" w:cs="宋体"/>
          <w:color w:val="auto"/>
          <w:sz w:val="22"/>
          <w:szCs w:val="22"/>
          <w:highlight w:val="none"/>
        </w:rPr>
        <w:t>一、总则</w:t>
      </w:r>
    </w:p>
    <w:p>
      <w:pPr>
        <w:pStyle w:val="26"/>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line="420" w:lineRule="atLeast"/>
        <w:jc w:val="center"/>
        <w:outlineLvl w:val="0"/>
        <w:rPr>
          <w:rFonts w:hint="eastAsia" w:ascii="宋体" w:hAnsi="宋体" w:cs="宋体"/>
          <w:bCs/>
          <w:color w:val="auto"/>
          <w:szCs w:val="22"/>
          <w:highlight w:val="none"/>
        </w:rPr>
      </w:pPr>
      <w:r>
        <w:rPr>
          <w:rFonts w:hint="eastAsia" w:ascii="宋体" w:hAnsi="宋体" w:cs="宋体"/>
          <w:bCs/>
          <w:color w:val="auto"/>
          <w:szCs w:val="22"/>
          <w:highlight w:val="none"/>
        </w:rPr>
        <w:t>二</w:t>
      </w:r>
      <w:r>
        <w:rPr>
          <w:rFonts w:hint="eastAsia" w:hAnsi="宋体" w:cs="宋体"/>
          <w:color w:val="auto"/>
          <w:szCs w:val="22"/>
          <w:highlight w:val="none"/>
        </w:rPr>
        <w:t>、</w:t>
      </w:r>
      <w:r>
        <w:rPr>
          <w:rFonts w:hint="eastAsia" w:ascii="宋体" w:hAnsi="宋体" w:cs="宋体"/>
          <w:bCs/>
          <w:color w:val="auto"/>
          <w:szCs w:val="22"/>
          <w:highlight w:val="none"/>
        </w:rPr>
        <w:t>评标组织</w:t>
      </w:r>
    </w:p>
    <w:p>
      <w:pPr>
        <w:pStyle w:val="26"/>
        <w:adjustRightInd w:val="0"/>
        <w:snapToGrid w:val="0"/>
        <w:spacing w:line="420" w:lineRule="atLeast"/>
        <w:rPr>
          <w:rFonts w:hint="eastAsia" w:hAnsi="宋体" w:cs="宋体"/>
          <w:color w:val="auto"/>
          <w:sz w:val="22"/>
          <w:szCs w:val="22"/>
          <w:highlight w:val="none"/>
        </w:rPr>
      </w:pPr>
      <w:r>
        <w:rPr>
          <w:rFonts w:hint="eastAsia" w:hAnsi="宋体" w:cs="宋体"/>
          <w:color w:val="auto"/>
          <w:sz w:val="22"/>
          <w:szCs w:val="22"/>
          <w:highlight w:val="none"/>
        </w:rPr>
        <w:t>评标工作由采购机构依法组建的评标委员会负责，评标委员会由采购人依法组建，成员人数应当为</w:t>
      </w:r>
      <w:r>
        <w:rPr>
          <w:rFonts w:hint="eastAsia" w:hAnsi="宋体" w:cs="宋体"/>
          <w:color w:val="auto"/>
          <w:sz w:val="22"/>
          <w:szCs w:val="22"/>
          <w:highlight w:val="none"/>
          <w:lang w:val="en-US" w:eastAsia="zh-CN"/>
        </w:rPr>
        <w:t>7</w:t>
      </w:r>
      <w:r>
        <w:rPr>
          <w:rFonts w:hint="eastAsia" w:hAnsi="宋体" w:cs="宋体"/>
          <w:color w:val="auto"/>
          <w:sz w:val="22"/>
          <w:szCs w:val="22"/>
          <w:highlight w:val="none"/>
        </w:rPr>
        <w:t>人或以上单数，其中评审专家不得少于成员总数的三分之二；评审专家确定方式：按相关规定从专家库中抽取。评标全过程由招标管理部门监督整个开标、评标和定标过程。</w:t>
      </w:r>
    </w:p>
    <w:p>
      <w:pPr>
        <w:pStyle w:val="186"/>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hAnsi="宋体" w:cs="宋体"/>
          <w:b w:val="0"/>
          <w:color w:val="auto"/>
          <w:kern w:val="2"/>
          <w:sz w:val="22"/>
          <w:szCs w:val="22"/>
          <w:highlight w:val="none"/>
        </w:rPr>
      </w:pPr>
      <w:r>
        <w:rPr>
          <w:rFonts w:hint="eastAsia" w:ascii="宋体" w:hAnsi="宋体" w:cs="宋体"/>
          <w:b w:val="0"/>
          <w:color w:val="auto"/>
          <w:kern w:val="2"/>
          <w:sz w:val="22"/>
          <w:szCs w:val="22"/>
          <w:highlight w:val="none"/>
        </w:rPr>
        <w:t>三、评标程序</w:t>
      </w:r>
    </w:p>
    <w:p>
      <w:pPr>
        <w:pStyle w:val="7"/>
        <w:adjustRightInd w:val="0"/>
        <w:snapToGrid w:val="0"/>
        <w:spacing w:line="420" w:lineRule="atLeas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本次开标，技术资信标和商务标分别开启</w:t>
      </w:r>
      <w:r>
        <w:rPr>
          <w:rFonts w:hint="eastAsia" w:ascii="宋体" w:hAnsi="宋体" w:cs="宋体"/>
          <w:b/>
          <w:color w:val="auto"/>
          <w:sz w:val="22"/>
          <w:szCs w:val="22"/>
          <w:highlight w:val="none"/>
        </w:rPr>
        <w:t>。</w:t>
      </w:r>
      <w:r>
        <w:rPr>
          <w:rFonts w:hint="eastAsia" w:ascii="宋体" w:hAnsi="宋体" w:cs="宋体"/>
          <w:color w:val="auto"/>
          <w:sz w:val="22"/>
          <w:szCs w:val="22"/>
          <w:highlight w:val="none"/>
        </w:rPr>
        <w:t>开标程序如下：</w:t>
      </w:r>
    </w:p>
    <w:p>
      <w:pPr>
        <w:adjustRightInd w:val="0"/>
        <w:snapToGrid w:val="0"/>
        <w:spacing w:line="420" w:lineRule="atLeast"/>
        <w:ind w:firstLine="440" w:firstLineChars="200"/>
        <w:rPr>
          <w:rFonts w:hint="eastAsia" w:ascii="宋体" w:hAnsi="宋体" w:cs="宋体"/>
          <w:color w:val="auto"/>
          <w:szCs w:val="22"/>
          <w:highlight w:val="none"/>
        </w:rPr>
      </w:pPr>
      <w:r>
        <w:rPr>
          <w:rFonts w:hint="eastAsia" w:ascii="宋体" w:hAnsi="宋体" w:cs="宋体"/>
          <w:color w:val="auto"/>
          <w:szCs w:val="22"/>
          <w:highlight w:val="none"/>
        </w:rPr>
        <w:t>第一步：</w:t>
      </w:r>
      <w:r>
        <w:rPr>
          <w:rFonts w:hint="eastAsia" w:ascii="宋体" w:hAnsi="宋体" w:cs="宋体"/>
          <w:color w:val="auto"/>
          <w:szCs w:val="22"/>
          <w:highlight w:val="none"/>
          <w:u w:val="single"/>
        </w:rPr>
        <w:t>首先开启技术资信部分投标文件</w:t>
      </w:r>
      <w:r>
        <w:rPr>
          <w:rFonts w:hint="eastAsia" w:ascii="宋体" w:hAnsi="宋体" w:cs="宋体"/>
          <w:color w:val="auto"/>
          <w:szCs w:val="22"/>
          <w:highlight w:val="none"/>
        </w:rPr>
        <w:t>，采购人或招标代理机构根据投标资格要求对各投标供应商投标资格进行审核，资格审核未通过的供应商做无效标处理，不进入技术资信及商务标评审，并退还商务报价部分投标文件。评标委员会根据评审原则和评审办法，对资格审核通过的各供应商的资信、技术部分投标进行评审并打分，技术资信标不合格的供应商做无效标处理，不进入商务标评审，并退还商务报价部分投标文件。</w:t>
      </w:r>
    </w:p>
    <w:p>
      <w:pPr>
        <w:adjustRightInd w:val="0"/>
        <w:snapToGrid w:val="0"/>
        <w:spacing w:line="420" w:lineRule="atLeast"/>
        <w:ind w:firstLine="440" w:firstLineChars="200"/>
        <w:rPr>
          <w:rFonts w:hint="eastAsia" w:ascii="宋体" w:hAnsi="宋体" w:cs="宋体"/>
          <w:color w:val="auto"/>
          <w:szCs w:val="22"/>
          <w:highlight w:val="none"/>
        </w:rPr>
      </w:pPr>
      <w:r>
        <w:rPr>
          <w:rFonts w:hint="eastAsia" w:ascii="宋体" w:hAnsi="宋体" w:cs="宋体"/>
          <w:color w:val="auto"/>
          <w:szCs w:val="22"/>
          <w:highlight w:val="none"/>
        </w:rPr>
        <w:t>第二步：</w:t>
      </w:r>
      <w:r>
        <w:rPr>
          <w:rFonts w:hint="eastAsia" w:ascii="宋体" w:hAnsi="宋体" w:cs="宋体"/>
          <w:color w:val="auto"/>
          <w:szCs w:val="22"/>
          <w:highlight w:val="none"/>
          <w:u w:val="single"/>
        </w:rPr>
        <w:t>公布资格审核情况及技术资信标得分</w:t>
      </w:r>
      <w:r>
        <w:rPr>
          <w:rFonts w:hint="eastAsia" w:ascii="宋体" w:hAnsi="宋体" w:cs="宋体"/>
          <w:color w:val="auto"/>
          <w:szCs w:val="22"/>
          <w:highlight w:val="none"/>
        </w:rPr>
        <w:t>，开启合格供应商的商务报价标。</w:t>
      </w:r>
    </w:p>
    <w:p>
      <w:pPr>
        <w:pStyle w:val="33"/>
        <w:snapToGrid w:val="0"/>
        <w:spacing w:line="420" w:lineRule="atLeas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以技术资信标和商务报价标合计分值由高到低的顺序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pPr>
        <w:pStyle w:val="33"/>
        <w:snapToGrid w:val="0"/>
        <w:spacing w:line="420" w:lineRule="atLeas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第四步：采购人授权由评标委员会根据评审报告直接确定综合得分第一名的供应商为中标供应商。如果第一名得分相同，以报价低的优先；报价也相同，以抽签决定。</w:t>
      </w:r>
    </w:p>
    <w:p>
      <w:pPr>
        <w:adjustRightInd w:val="0"/>
        <w:snapToGrid w:val="0"/>
        <w:spacing w:before="100" w:after="50"/>
        <w:ind w:firstLine="420"/>
        <w:rPr>
          <w:rFonts w:hint="eastAsia" w:ascii="宋体" w:hAnsi="宋体" w:cs="宋体"/>
          <w:color w:val="auto"/>
          <w:szCs w:val="22"/>
          <w:highlight w:val="none"/>
        </w:rPr>
      </w:pPr>
      <w:r>
        <w:rPr>
          <w:rFonts w:hint="eastAsia" w:ascii="宋体" w:hAnsi="宋体" w:cs="宋体"/>
          <w:b/>
          <w:color w:val="auto"/>
          <w:szCs w:val="22"/>
          <w:highlight w:val="none"/>
        </w:rPr>
        <w:t>其它参见本采购文件第三部分：“供应商须知” 中的相关内容。</w:t>
      </w:r>
    </w:p>
    <w:p>
      <w:pPr>
        <w:pStyle w:val="24"/>
        <w:adjustRightInd w:val="0"/>
        <w:snapToGrid w:val="0"/>
        <w:spacing w:line="420" w:lineRule="exact"/>
        <w:jc w:val="center"/>
        <w:rPr>
          <w:rFonts w:hint="eastAsia" w:hAnsi="宋体" w:cs="宋体"/>
          <w:b/>
          <w:color w:val="auto"/>
          <w:sz w:val="36"/>
          <w:szCs w:val="36"/>
          <w:highlight w:val="none"/>
        </w:rPr>
      </w:pPr>
    </w:p>
    <w:p>
      <w:pPr>
        <w:pStyle w:val="24"/>
        <w:adjustRightInd w:val="0"/>
        <w:snapToGrid w:val="0"/>
        <w:spacing w:line="420" w:lineRule="exact"/>
        <w:jc w:val="center"/>
        <w:rPr>
          <w:rFonts w:hint="eastAsia" w:hAnsi="宋体" w:cs="宋体"/>
          <w:b/>
          <w:color w:val="auto"/>
          <w:sz w:val="36"/>
          <w:szCs w:val="36"/>
          <w:highlight w:val="none"/>
        </w:rPr>
      </w:pPr>
    </w:p>
    <w:p>
      <w:pPr>
        <w:pStyle w:val="24"/>
        <w:adjustRightInd w:val="0"/>
        <w:snapToGrid w:val="0"/>
        <w:spacing w:line="420" w:lineRule="exact"/>
        <w:jc w:val="center"/>
        <w:rPr>
          <w:rFonts w:hint="eastAsia" w:hAnsi="宋体" w:cs="宋体"/>
          <w:b/>
          <w:color w:val="auto"/>
          <w:sz w:val="36"/>
          <w:szCs w:val="36"/>
          <w:highlight w:val="none"/>
        </w:rPr>
      </w:pPr>
    </w:p>
    <w:p>
      <w:pPr>
        <w:pStyle w:val="24"/>
        <w:adjustRightInd w:val="0"/>
        <w:snapToGrid w:val="0"/>
        <w:spacing w:line="420" w:lineRule="exact"/>
        <w:jc w:val="center"/>
        <w:rPr>
          <w:rFonts w:hint="eastAsia" w:hAnsi="宋体" w:cs="宋体"/>
          <w:b/>
          <w:color w:val="auto"/>
          <w:sz w:val="36"/>
          <w:szCs w:val="36"/>
          <w:highlight w:val="none"/>
        </w:rPr>
      </w:pPr>
    </w:p>
    <w:p>
      <w:pPr>
        <w:pStyle w:val="24"/>
        <w:adjustRightInd w:val="0"/>
        <w:snapToGrid w:val="0"/>
        <w:spacing w:line="420" w:lineRule="exact"/>
        <w:jc w:val="center"/>
        <w:rPr>
          <w:rFonts w:hint="eastAsia" w:hAnsi="宋体" w:cs="宋体"/>
          <w:b/>
          <w:color w:val="auto"/>
          <w:sz w:val="36"/>
          <w:szCs w:val="36"/>
          <w:highlight w:val="none"/>
        </w:rPr>
      </w:pPr>
    </w:p>
    <w:p>
      <w:pPr>
        <w:pStyle w:val="24"/>
        <w:adjustRightInd w:val="0"/>
        <w:snapToGrid w:val="0"/>
        <w:spacing w:line="420" w:lineRule="exact"/>
        <w:jc w:val="center"/>
        <w:rPr>
          <w:rFonts w:hint="eastAsia" w:hAnsi="宋体" w:cs="宋体"/>
          <w:b/>
          <w:color w:val="auto"/>
          <w:sz w:val="36"/>
          <w:szCs w:val="36"/>
          <w:highlight w:val="none"/>
        </w:rPr>
      </w:pPr>
    </w:p>
    <w:p>
      <w:pPr>
        <w:pStyle w:val="24"/>
        <w:adjustRightInd w:val="0"/>
        <w:snapToGrid w:val="0"/>
        <w:spacing w:line="420" w:lineRule="exact"/>
        <w:jc w:val="center"/>
        <w:rPr>
          <w:rFonts w:hint="eastAsia" w:hAnsi="宋体" w:cs="宋体"/>
          <w:b/>
          <w:color w:val="auto"/>
          <w:sz w:val="36"/>
          <w:szCs w:val="36"/>
          <w:highlight w:val="none"/>
        </w:rPr>
      </w:pPr>
    </w:p>
    <w:p>
      <w:pPr>
        <w:pStyle w:val="24"/>
        <w:adjustRightInd w:val="0"/>
        <w:snapToGrid w:val="0"/>
        <w:spacing w:line="420" w:lineRule="exact"/>
        <w:jc w:val="center"/>
        <w:rPr>
          <w:rFonts w:hint="eastAsia" w:hAnsi="宋体" w:cs="宋体"/>
          <w:b/>
          <w:color w:val="auto"/>
          <w:sz w:val="36"/>
          <w:szCs w:val="36"/>
          <w:highlight w:val="none"/>
        </w:rPr>
      </w:pPr>
    </w:p>
    <w:p>
      <w:pPr>
        <w:pStyle w:val="24"/>
        <w:adjustRightInd w:val="0"/>
        <w:snapToGrid w:val="0"/>
        <w:spacing w:line="420" w:lineRule="exact"/>
        <w:jc w:val="center"/>
        <w:rPr>
          <w:rFonts w:hint="eastAsia" w:hAnsi="宋体" w:cs="宋体"/>
          <w:b/>
          <w:color w:val="auto"/>
          <w:sz w:val="36"/>
          <w:szCs w:val="36"/>
          <w:highlight w:val="none"/>
        </w:rPr>
      </w:pPr>
      <w:r>
        <w:rPr>
          <w:rFonts w:hint="eastAsia" w:hAnsi="宋体" w:cs="宋体"/>
          <w:b/>
          <w:color w:val="auto"/>
          <w:sz w:val="36"/>
          <w:szCs w:val="36"/>
          <w:highlight w:val="none"/>
        </w:rPr>
        <w:t>评标细则</w:t>
      </w:r>
    </w:p>
    <w:p>
      <w:pPr>
        <w:pStyle w:val="24"/>
        <w:adjustRightInd w:val="0"/>
        <w:snapToGrid w:val="0"/>
        <w:spacing w:line="420" w:lineRule="exact"/>
        <w:rPr>
          <w:rFonts w:hint="eastAsia" w:hAnsi="宋体" w:cs="宋体"/>
          <w:b/>
          <w:color w:val="auto"/>
          <w:sz w:val="22"/>
          <w:szCs w:val="22"/>
          <w:highlight w:val="none"/>
        </w:rPr>
      </w:pPr>
      <w:r>
        <w:rPr>
          <w:rFonts w:hint="eastAsia" w:hAnsi="宋体" w:cs="宋体"/>
          <w:b/>
          <w:color w:val="auto"/>
          <w:sz w:val="22"/>
          <w:szCs w:val="22"/>
          <w:highlight w:val="none"/>
        </w:rPr>
        <w:t>一、商务报价评分30分</w:t>
      </w:r>
    </w:p>
    <w:p>
      <w:pPr>
        <w:pStyle w:val="24"/>
        <w:adjustRightInd w:val="0"/>
        <w:snapToGrid w:val="0"/>
        <w:spacing w:line="42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1、以供应商有效投标价中的最低价为评标基准价，得满分30分。商务报价评分结算公式为：投标报价得分=(评标基准价/投标报价)×30%×100。</w:t>
      </w:r>
    </w:p>
    <w:p>
      <w:pPr>
        <w:pStyle w:val="24"/>
        <w:snapToGrid w:val="0"/>
        <w:spacing w:line="460" w:lineRule="atLeas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如果供应商的报价均超出采购最高限价且采购人确认不能支付的情况，则本项目做流（废）标处理。如果仅仅某些（个）供应商投标报价超出最高限价的，则拒绝接受其投标报价，该供应商投标按无效投标处理。</w:t>
      </w:r>
    </w:p>
    <w:p>
      <w:pPr>
        <w:pStyle w:val="24"/>
        <w:adjustRightInd w:val="0"/>
        <w:snapToGrid w:val="0"/>
        <w:spacing w:line="400" w:lineRule="exact"/>
        <w:rPr>
          <w:rFonts w:hint="eastAsia" w:hAnsi="宋体" w:cs="宋体"/>
          <w:b/>
          <w:color w:val="auto"/>
          <w:szCs w:val="22"/>
          <w:highlight w:val="none"/>
        </w:rPr>
      </w:pPr>
      <w:r>
        <w:rPr>
          <w:rFonts w:hint="eastAsia" w:hAnsi="宋体" w:cs="宋体"/>
          <w:color w:val="auto"/>
          <w:szCs w:val="22"/>
          <w:highlight w:val="none"/>
        </w:rPr>
        <w:t>二</w:t>
      </w:r>
      <w:r>
        <w:rPr>
          <w:rFonts w:hint="eastAsia" w:hAnsi="宋体" w:cs="宋体"/>
          <w:b/>
          <w:color w:val="auto"/>
          <w:szCs w:val="22"/>
          <w:highlight w:val="none"/>
        </w:rPr>
        <w:t>、技术、服务、资信业绩等综合评分 70分</w:t>
      </w:r>
    </w:p>
    <w:p>
      <w:pPr>
        <w:pStyle w:val="24"/>
        <w:adjustRightInd w:val="0"/>
        <w:snapToGrid w:val="0"/>
        <w:spacing w:line="380" w:lineRule="exact"/>
        <w:rPr>
          <w:rFonts w:hint="eastAsia" w:hAnsi="宋体" w:cs="宋体"/>
          <w:color w:val="auto"/>
          <w:szCs w:val="22"/>
          <w:highlight w:val="none"/>
          <w:lang w:val="en-US" w:eastAsia="zh-CN"/>
        </w:rPr>
      </w:pPr>
      <w:r>
        <w:rPr>
          <w:rFonts w:hint="eastAsia" w:hAnsi="宋体" w:cs="宋体"/>
          <w:color w:val="auto"/>
          <w:szCs w:val="22"/>
          <w:highlight w:val="none"/>
          <w:lang w:val="en-US" w:eastAsia="zh-CN"/>
        </w:rPr>
        <w:t>标项一：</w:t>
      </w:r>
    </w:p>
    <w:tbl>
      <w:tblPr>
        <w:tblStyle w:val="42"/>
        <w:tblW w:w="10677"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2"/>
        <w:gridCol w:w="1569"/>
        <w:gridCol w:w="7838"/>
        <w:gridCol w:w="70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781" w:hRule="atLeast"/>
          <w:tblHeader/>
          <w:jc w:val="center"/>
        </w:trPr>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评审细则</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706" w:hRule="atLeast"/>
          <w:jc w:val="center"/>
        </w:trPr>
        <w:tc>
          <w:tcPr>
            <w:tcW w:w="5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企业实力</w:t>
            </w:r>
          </w:p>
        </w:tc>
        <w:tc>
          <w:tcPr>
            <w:tcW w:w="7838" w:type="dxa"/>
            <w:noWrap w:val="0"/>
            <w:vAlign w:val="center"/>
          </w:tcPr>
          <w:p>
            <w:pPr>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highlight w:val="none"/>
                <w:lang w:eastAsia="zh-CN"/>
              </w:rPr>
            </w:pPr>
            <w:r>
              <w:rPr>
                <w:rFonts w:hint="eastAsia" w:ascii="宋体" w:hAnsi="宋体" w:eastAsia="宋体" w:cs="宋体"/>
                <w:color w:val="auto"/>
                <w:sz w:val="24"/>
                <w:szCs w:val="24"/>
                <w:highlight w:val="none"/>
              </w:rPr>
              <w:sym w:font="Wingdings" w:char="F081"/>
            </w:r>
            <w:r>
              <w:rPr>
                <w:rFonts w:hint="eastAsia" w:ascii="宋体" w:hAnsi="宋体" w:eastAsia="宋体" w:cs="宋体"/>
                <w:color w:val="auto"/>
                <w:sz w:val="24"/>
                <w:szCs w:val="24"/>
                <w:highlight w:val="none"/>
              </w:rPr>
              <w:t>投标产品制造商</w:t>
            </w:r>
            <w:r>
              <w:rPr>
                <w:rFonts w:hint="eastAsia" w:ascii="宋体" w:hAnsi="宋体" w:cs="宋体"/>
                <w:color w:val="auto"/>
                <w:sz w:val="24"/>
                <w:szCs w:val="24"/>
                <w:highlight w:val="none"/>
                <w:lang w:val="en-US" w:eastAsia="zh-CN"/>
              </w:rPr>
              <w:t>有效的</w:t>
            </w:r>
            <w:r>
              <w:rPr>
                <w:rFonts w:hint="eastAsia"/>
                <w:highlight w:val="none"/>
                <w:lang w:eastAsia="zh-CN"/>
              </w:rPr>
              <w:t>质量管理体系认证证书；</w:t>
            </w:r>
            <w:r>
              <w:rPr>
                <w:rFonts w:hint="eastAsia" w:ascii="宋体" w:hAnsi="宋体" w:eastAsia="宋体" w:cs="宋体"/>
                <w:color w:val="auto"/>
                <w:sz w:val="24"/>
                <w:szCs w:val="24"/>
                <w:highlight w:val="none"/>
              </w:rPr>
              <w:t>②投标产品制造商</w:t>
            </w:r>
            <w:r>
              <w:rPr>
                <w:rFonts w:hint="eastAsia" w:ascii="宋体" w:hAnsi="宋体" w:cs="宋体"/>
                <w:color w:val="auto"/>
                <w:sz w:val="24"/>
                <w:szCs w:val="24"/>
                <w:highlight w:val="none"/>
                <w:lang w:val="en-US" w:eastAsia="zh-CN"/>
              </w:rPr>
              <w:t>有效的</w:t>
            </w:r>
            <w:r>
              <w:rPr>
                <w:rFonts w:hint="eastAsia"/>
                <w:highlight w:val="none"/>
                <w:lang w:eastAsia="zh-CN"/>
              </w:rPr>
              <w:t>环境管理体系认证证书每提供一项得</w:t>
            </w:r>
            <w:r>
              <w:rPr>
                <w:rFonts w:hint="eastAsia"/>
                <w:highlight w:val="none"/>
                <w:lang w:val="en-US" w:eastAsia="zh-CN"/>
              </w:rPr>
              <w:t>1</w:t>
            </w:r>
            <w:r>
              <w:rPr>
                <w:rFonts w:hint="eastAsia"/>
                <w:highlight w:val="none"/>
                <w:lang w:eastAsia="zh-CN"/>
              </w:rPr>
              <w:t>分，获得证书并在有效期内的，最高2分。</w:t>
            </w:r>
          </w:p>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highlight w:val="none"/>
                <w:lang w:eastAsia="zh-CN"/>
              </w:rPr>
              <w:t>（复印件加盖公章放入投标文件中，不提供不得分）。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024"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pStyle w:val="1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投标供应商或投标产品制造商自2018年1月1日（以合同签订时间为准）以来纯电公交车销售业绩业绩的，每个得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分，最多得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pPr>
              <w:pStyle w:val="1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r>
              <w:rPr>
                <w:rFonts w:hint="eastAsia" w:ascii="宋体" w:hAnsi="宋体" w:cs="宋体"/>
                <w:color w:val="auto"/>
                <w:sz w:val="24"/>
                <w:szCs w:val="24"/>
                <w:highlight w:val="none"/>
                <w:lang w:val="en-US" w:eastAsia="zh-CN"/>
              </w:rPr>
              <w:t>需</w:t>
            </w:r>
            <w:r>
              <w:rPr>
                <w:rFonts w:hint="eastAsia" w:ascii="宋体" w:hAnsi="宋体" w:eastAsia="宋体" w:cs="宋体"/>
                <w:color w:val="auto"/>
                <w:sz w:val="24"/>
                <w:szCs w:val="24"/>
                <w:highlight w:val="none"/>
                <w:lang w:eastAsia="zh-CN"/>
              </w:rPr>
              <w:t>提供合同原件核查，</w:t>
            </w:r>
            <w:r>
              <w:rPr>
                <w:rFonts w:hint="eastAsia" w:ascii="宋体" w:hAnsi="宋体" w:cs="宋体"/>
                <w:color w:val="auto"/>
                <w:sz w:val="24"/>
                <w:szCs w:val="24"/>
                <w:highlight w:val="none"/>
                <w:lang w:val="en-US" w:eastAsia="zh-CN"/>
              </w:rPr>
              <w:t>不提供</w:t>
            </w:r>
            <w:r>
              <w:rPr>
                <w:rFonts w:hint="eastAsia" w:ascii="宋体" w:hAnsi="宋体" w:eastAsia="宋体" w:cs="宋体"/>
                <w:color w:val="auto"/>
                <w:sz w:val="24"/>
                <w:szCs w:val="24"/>
                <w:highlight w:val="none"/>
                <w:lang w:eastAsia="zh-CN"/>
              </w:rPr>
              <w:t>不得分。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024"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该车型的客户使用情况反馈，</w:t>
            </w:r>
            <w:r>
              <w:rPr>
                <w:rFonts w:hint="eastAsia" w:ascii="宋体" w:hAnsi="宋体" w:eastAsia="宋体" w:cs="宋体"/>
                <w:color w:val="auto"/>
                <w:sz w:val="24"/>
                <w:szCs w:val="24"/>
                <w:highlight w:val="none"/>
                <w:lang w:val="en-US" w:eastAsia="zh-CN"/>
              </w:rPr>
              <w:t>由评委</w:t>
            </w:r>
            <w:r>
              <w:rPr>
                <w:rFonts w:hint="eastAsia" w:ascii="宋体" w:hAnsi="宋体" w:eastAsia="宋体" w:cs="宋体"/>
                <w:color w:val="auto"/>
                <w:sz w:val="24"/>
                <w:szCs w:val="24"/>
                <w:highlight w:val="none"/>
                <w:lang w:eastAsia="zh-CN"/>
              </w:rPr>
              <w:t>进行打分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提供相关证</w:t>
            </w:r>
            <w:r>
              <w:rPr>
                <w:rFonts w:hint="eastAsia" w:ascii="宋体" w:hAnsi="宋体" w:eastAsia="宋体" w:cs="宋体"/>
                <w:color w:val="auto"/>
                <w:sz w:val="24"/>
                <w:szCs w:val="24"/>
                <w:highlight w:val="none"/>
                <w:lang w:eastAsia="zh-CN"/>
              </w:rPr>
              <w:t>明</w:t>
            </w:r>
            <w:r>
              <w:rPr>
                <w:rFonts w:hint="eastAsia" w:ascii="宋体" w:hAnsi="宋体" w:eastAsia="宋体" w:cs="宋体"/>
                <w:color w:val="auto"/>
                <w:sz w:val="24"/>
                <w:szCs w:val="24"/>
                <w:highlight w:val="none"/>
              </w:rPr>
              <w:t>复印件加盖公章，未提供的不得分）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517" w:hRule="atLeast"/>
          <w:jc w:val="center"/>
        </w:trPr>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所投产品技术指标、性能等与采购需求的符合性</w:t>
            </w: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评审各投标供应商所投车辆的技术指标、性能等若有一项“★”不满足的，每项扣1分，其它项不满足的每项扣0.5分，扣完为止</w:t>
            </w:r>
            <w:r>
              <w:rPr>
                <w:rFonts w:hint="eastAsia" w:ascii="宋体" w:hAnsi="宋体" w:cs="宋体"/>
                <w:color w:val="auto"/>
                <w:sz w:val="24"/>
                <w:szCs w:val="24"/>
                <w:highlight w:val="none"/>
                <w:lang w:val="en-US" w:eastAsia="zh-CN"/>
              </w:rPr>
              <w:t>（0-12分）</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评审各投标供应商所投车辆的技术指标、性能等优于采购文件要求的每项加0.5分，最多得3分（正偏离加分由评审组商定）</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261" w:hRule="atLeast"/>
          <w:jc w:val="center"/>
        </w:trPr>
        <w:tc>
          <w:tcPr>
            <w:tcW w:w="5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所投产品的整体比较</w:t>
            </w: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防腐设备：防腐设备和防腐性能：①投标供应商整车制造厂已投入整车阴极电泳设备得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分（以电泳设备采购合同</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采购发票复印件加盖公章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rPr>
              <w:t>不得分）。②整车（包括车身主要覆盖件、骨架、底盘车架、前、后尾金属保险杠）经阴极电泳得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分，其余不得分（投标供应商需提供承诺8年以上不腐蚀的</w:t>
            </w:r>
            <w:r>
              <w:rPr>
                <w:rFonts w:hint="eastAsia" w:ascii="宋体" w:hAnsi="宋体" w:eastAsia="宋体" w:cs="宋体"/>
                <w:color w:val="auto"/>
                <w:sz w:val="24"/>
                <w:szCs w:val="24"/>
                <w:highlight w:val="none"/>
                <w:lang w:val="en-US" w:eastAsia="zh-CN"/>
              </w:rPr>
              <w:t>证明材料</w:t>
            </w:r>
            <w:r>
              <w:rPr>
                <w:rFonts w:hint="eastAsia" w:ascii="宋体" w:hAnsi="宋体" w:eastAsia="宋体" w:cs="宋体"/>
                <w:color w:val="auto"/>
                <w:sz w:val="24"/>
                <w:szCs w:val="24"/>
                <w:highlight w:val="none"/>
              </w:rPr>
              <w:t>、工艺证明，否则不得分）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180"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技术升级：针对公交车辆有实质性配件升级的，需进行详细的技术阐述，每项0.5分，最多2分（由评审组根据配件市场价格商定评分）。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技术创新：1.车辆后桥采用一体式电驱化断开式电桥驱动后桥（提供相关证明材料及图片）；2.制动系统采用 ABS+EBD 系统（提供相关证明材料及图片）；3.所投车辆采用液晶显示仪表（提供相关证明材料及图片）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双内摆门大于等于</w:t>
            </w:r>
            <w:r>
              <w:rPr>
                <w:rFonts w:hint="eastAsia" w:ascii="宋体" w:hAnsi="宋体" w:cs="宋体"/>
                <w:color w:val="auto"/>
                <w:sz w:val="24"/>
                <w:szCs w:val="24"/>
                <w:highlight w:val="none"/>
                <w:lang w:val="en-US" w:eastAsia="zh-CN"/>
              </w:rPr>
              <w:t>1200MM或</w:t>
            </w:r>
            <w:r>
              <w:rPr>
                <w:rFonts w:hint="eastAsia" w:ascii="宋体" w:hAnsi="宋体" w:eastAsia="宋体" w:cs="宋体"/>
                <w:color w:val="auto"/>
                <w:sz w:val="24"/>
                <w:szCs w:val="24"/>
                <w:highlight w:val="none"/>
              </w:rPr>
              <w:t>塞拉门具备：①芯片型可编程门控器，具有CAN通讯功能，防护等级不低于IP53；②门系统开、关门都具有全程电流和位置双重防挤压功能，防夹力不大于110N；③采用圆柱形承载导轨，运动阻力小，直线段手动开关门力不大于70N；④采用旋转终端机械锁，塞拉距离不大于85mm</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配备应急安全门。每项1分，最高</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分，未提供相关证明材料及图片不得分。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064"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电控系统：根据投标人所投车辆高压电控系统集成程度</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rPr>
              <w:t>和实用程度进行</w:t>
            </w:r>
            <w:r>
              <w:rPr>
                <w:rFonts w:hint="eastAsia" w:ascii="宋体" w:hAnsi="宋体" w:cs="宋体"/>
                <w:color w:val="auto"/>
                <w:sz w:val="24"/>
                <w:szCs w:val="24"/>
                <w:highlight w:val="none"/>
                <w:lang w:val="en-US" w:eastAsia="zh-CN"/>
              </w:rPr>
              <w:t>由评委进行打分</w:t>
            </w:r>
            <w:r>
              <w:rPr>
                <w:rFonts w:hint="eastAsia" w:ascii="宋体" w:hAnsi="宋体" w:eastAsia="宋体" w:cs="宋体"/>
                <w:color w:val="auto"/>
                <w:sz w:val="24"/>
                <w:szCs w:val="24"/>
                <w:highlight w:val="none"/>
              </w:rPr>
              <w:t>。（以提供相应检测报告为准，不提供检测报告不得分）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091"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防护等级（1）：为提高保证电池的防护和涉水安全，电池防护等级IP67以下不得分，IP67的得1分，IP68的得2分（提供第三方检测报告，否则不得分。）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042"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防护等级（2）：整车电机防护等级达到IP68得1分，低于IP68的不得分。（提供第三方检测报告，否则不得分。）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059"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动力电池（1）：根据投标人选用的电池整体安全可靠性、质量稳定性、车辆单位满意度等，评委</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rPr>
              <w:t>打分。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066"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动力电池（2）：所投车型动力电池充电系统充电倍率达到1C及以上的得2分，低于1C不得分（提供第三方检测报告，否则不得分。）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动力电池（3）：根据投标供应商选用的动力电池容量以8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KW/h为基数，每增加1KW/h加0.1分，但最高不高于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(按四舍五入计算，保留小数点后两位)。</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094"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动力电池（4）：所投车辆动力电池能量密度＞155wh/kg的得2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150.1wh/kg-155wh/kg的得1分；其余的不得分。（以推荐目录为准）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highlight w:val="none"/>
                <w:lang w:val="en-US" w:eastAsia="zh-CN"/>
              </w:rPr>
            </w:pPr>
            <w:r>
              <w:rPr>
                <w:rFonts w:hint="eastAsia"/>
                <w:highlight w:val="none"/>
              </w:rPr>
              <w:t>动力电池（</w:t>
            </w:r>
            <w:r>
              <w:rPr>
                <w:rFonts w:hint="eastAsia"/>
                <w:highlight w:val="none"/>
                <w:lang w:val="en-US" w:eastAsia="zh-CN"/>
              </w:rPr>
              <w:t>5</w:t>
            </w:r>
            <w:r>
              <w:rPr>
                <w:rFonts w:hint="eastAsia"/>
                <w:highlight w:val="none"/>
              </w:rPr>
              <w:t>）：</w:t>
            </w:r>
            <w:r>
              <w:rPr>
                <w:rFonts w:ascii="宋体" w:hAnsi="宋体" w:eastAsia="宋体" w:cs="宋体"/>
                <w:sz w:val="24"/>
                <w:szCs w:val="24"/>
              </w:rPr>
              <w:t>所投车型电池和电芯产品的兼容情况进行打分，最高得1分。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418"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电池舱设计：电池舱与乘客舱完全隔离，并在电池舱体内壁加装防火隔热的纳能材料，（提供实车照片并且出具书面说明函为准）</w:t>
            </w:r>
            <w:r>
              <w:rPr>
                <w:rFonts w:hint="eastAsia" w:ascii="宋体" w:hAnsi="宋体" w:cs="宋体"/>
                <w:color w:val="auto"/>
                <w:sz w:val="24"/>
                <w:szCs w:val="24"/>
                <w:highlight w:val="none"/>
                <w:lang w:val="en-US" w:eastAsia="zh-CN"/>
              </w:rPr>
              <w:t>由评委进行打分。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639"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纯电动动力系统：根据各投标供应商所提交投标车辆的纯电动系统的关键部件不低于驱动电机额定功率≧50KW、峰值功率≧90KW、峰值扭矩≧300N</w:t>
            </w:r>
            <w:r>
              <w:rPr>
                <w:rFonts w:hint="eastAsia" w:ascii="宋体" w:hAnsi="宋体" w:eastAsia="宋体" w:cs="宋体"/>
                <w:color w:val="auto"/>
                <w:sz w:val="24"/>
                <w:szCs w:val="24"/>
                <w:highlight w:val="none"/>
                <w:lang w:eastAsia="zh-CN"/>
              </w:rPr>
              <w:t>完全满足的得</w:t>
            </w:r>
            <w:r>
              <w:rPr>
                <w:rFonts w:hint="eastAsia" w:ascii="宋体" w:hAnsi="宋体" w:eastAsia="宋体" w:cs="宋体"/>
                <w:color w:val="auto"/>
                <w:sz w:val="24"/>
                <w:szCs w:val="24"/>
                <w:highlight w:val="none"/>
              </w:rPr>
              <w:t>1分</w:t>
            </w:r>
            <w:r>
              <w:rPr>
                <w:rFonts w:hint="eastAsia" w:ascii="宋体" w:hAnsi="宋体" w:eastAsia="宋体" w:cs="宋体"/>
                <w:color w:val="auto"/>
                <w:sz w:val="24"/>
                <w:szCs w:val="24"/>
                <w:highlight w:val="none"/>
                <w:lang w:eastAsia="zh-CN"/>
              </w:rPr>
              <w:t>，其余不得分</w:t>
            </w:r>
            <w:r>
              <w:rPr>
                <w:rFonts w:hint="eastAsia" w:ascii="宋体" w:hAnsi="宋体" w:eastAsia="宋体" w:cs="宋体"/>
                <w:color w:val="auto"/>
                <w:sz w:val="24"/>
                <w:szCs w:val="24"/>
                <w:highlight w:val="none"/>
              </w:rPr>
              <w:t>（提供第三方检测报告，否则不得分。）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pStyle w:val="16"/>
              <w:rPr>
                <w:rFonts w:hint="eastAsia" w:ascii="宋体" w:hAnsi="宋体" w:eastAsia="宋体" w:cs="宋体"/>
                <w:color w:val="auto"/>
                <w:sz w:val="24"/>
                <w:szCs w:val="24"/>
                <w:highlight w:val="none"/>
              </w:rPr>
            </w:pPr>
            <w:r>
              <w:rPr>
                <w:rFonts w:ascii="宋体" w:hAnsi="宋体" w:eastAsia="宋体" w:cs="宋体"/>
                <w:sz w:val="24"/>
                <w:szCs w:val="24"/>
              </w:rPr>
              <w:t>采用永磁同步驱动电机、电机控制器、整车控制器与投标车辆的兼容性进行打分，最高得2分。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pStyle w:val="2"/>
              <w:rPr>
                <w:rFonts w:hint="eastAsia"/>
                <w:color w:val="auto"/>
                <w:sz w:val="24"/>
                <w:szCs w:val="24"/>
                <w:highlight w:val="none"/>
              </w:rPr>
            </w:pPr>
            <w:r>
              <w:rPr>
                <w:rFonts w:hint="eastAsia"/>
                <w:color w:val="auto"/>
                <w:sz w:val="24"/>
                <w:szCs w:val="24"/>
                <w:highlight w:val="none"/>
              </w:rPr>
              <w:t>车辆外观与内饰：符合小型城市客车公交车型，适用城乡道路、旅游景区运营，外观要流线型，美观新颖，维修简便、材料轻量化、操作简便、内饰材料耐脏易清洗布置合理、色彩搭配柔和、前后过道小圆角人性化设计等，（提供实车前、后正面照片，左、右侧45度角车身照片，车内驾驶室、车内由前向后、由后向前照片，并且出具内饰特殊材料书面说明函为准）</w:t>
            </w:r>
            <w:r>
              <w:rPr>
                <w:rFonts w:hint="eastAsia"/>
                <w:color w:val="auto"/>
                <w:sz w:val="24"/>
                <w:szCs w:val="24"/>
                <w:highlight w:val="none"/>
                <w:lang w:val="en-US" w:eastAsia="zh-CN"/>
              </w:rPr>
              <w:t>由评委进行打分</w:t>
            </w:r>
            <w:r>
              <w:rPr>
                <w:rFonts w:hint="eastAsia"/>
                <w:color w:val="auto"/>
                <w:sz w:val="24"/>
                <w:szCs w:val="24"/>
                <w:highlight w:val="none"/>
              </w:rPr>
              <w:t>。</w:t>
            </w:r>
          </w:p>
          <w:p>
            <w:pPr>
              <w:pStyle w:val="2"/>
              <w:rPr>
                <w:rFonts w:hint="default"/>
                <w:highlight w:val="none"/>
                <w:lang w:val="en-US" w:eastAsia="zh-CN"/>
              </w:rPr>
            </w:pPr>
            <w:r>
              <w:rPr>
                <w:rFonts w:hint="eastAsia"/>
                <w:color w:val="auto"/>
                <w:sz w:val="24"/>
                <w:szCs w:val="24"/>
                <w:highlight w:val="none"/>
              </w:rPr>
              <w:t>其中：完全合理满足采购</w:t>
            </w:r>
            <w:r>
              <w:rPr>
                <w:rFonts w:hint="eastAsia"/>
                <w:color w:val="auto"/>
                <w:sz w:val="24"/>
                <w:szCs w:val="24"/>
                <w:highlight w:val="none"/>
                <w:lang w:eastAsia="zh-CN"/>
              </w:rPr>
              <w:t>方</w:t>
            </w:r>
            <w:r>
              <w:rPr>
                <w:rFonts w:hint="eastAsia"/>
                <w:color w:val="auto"/>
                <w:sz w:val="24"/>
                <w:szCs w:val="24"/>
                <w:highlight w:val="none"/>
              </w:rPr>
              <w:t>要求</w:t>
            </w:r>
            <w:r>
              <w:rPr>
                <w:rFonts w:hint="eastAsia"/>
                <w:color w:val="auto"/>
                <w:sz w:val="24"/>
                <w:szCs w:val="24"/>
                <w:highlight w:val="none"/>
                <w:lang w:val="en-US" w:eastAsia="zh-CN"/>
              </w:rPr>
              <w:t>的得2-4</w:t>
            </w:r>
            <w:r>
              <w:rPr>
                <w:rFonts w:hint="eastAsia"/>
                <w:color w:val="auto"/>
                <w:sz w:val="24"/>
                <w:szCs w:val="24"/>
                <w:highlight w:val="none"/>
              </w:rPr>
              <w:t>分；基本满足采购</w:t>
            </w:r>
            <w:r>
              <w:rPr>
                <w:rFonts w:hint="eastAsia"/>
                <w:color w:val="auto"/>
                <w:sz w:val="24"/>
                <w:szCs w:val="24"/>
                <w:highlight w:val="none"/>
                <w:lang w:eastAsia="zh-CN"/>
              </w:rPr>
              <w:t>方</w:t>
            </w:r>
            <w:r>
              <w:rPr>
                <w:rFonts w:hint="eastAsia"/>
                <w:color w:val="auto"/>
                <w:sz w:val="24"/>
                <w:szCs w:val="24"/>
                <w:highlight w:val="none"/>
              </w:rPr>
              <w:t>要求</w:t>
            </w:r>
            <w:r>
              <w:rPr>
                <w:rFonts w:hint="eastAsia"/>
                <w:color w:val="auto"/>
                <w:sz w:val="24"/>
                <w:szCs w:val="24"/>
                <w:highlight w:val="none"/>
                <w:lang w:val="en-US" w:eastAsia="zh-CN"/>
              </w:rPr>
              <w:t>的</w:t>
            </w:r>
            <w:r>
              <w:rPr>
                <w:rFonts w:hint="eastAsia"/>
                <w:color w:val="auto"/>
                <w:sz w:val="24"/>
                <w:szCs w:val="24"/>
                <w:highlight w:val="none"/>
              </w:rPr>
              <w:t>得</w:t>
            </w:r>
            <w:r>
              <w:rPr>
                <w:rFonts w:hint="eastAsia"/>
                <w:color w:val="auto"/>
                <w:sz w:val="24"/>
                <w:szCs w:val="24"/>
                <w:highlight w:val="none"/>
                <w:lang w:val="en-US" w:eastAsia="zh-CN"/>
              </w:rPr>
              <w:t>0-2</w:t>
            </w:r>
            <w:r>
              <w:rPr>
                <w:rFonts w:hint="eastAsia"/>
                <w:color w:val="auto"/>
                <w:sz w:val="24"/>
                <w:szCs w:val="24"/>
                <w:highlight w:val="none"/>
              </w:rPr>
              <w:t>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rPr>
              <w:t>车内采用一级踏步设计的得1分，二级踏步及以上的得</w:t>
            </w:r>
            <w:r>
              <w:rPr>
                <w:rFonts w:hint="eastAsia" w:ascii="宋体" w:hAnsi="宋体" w:cs="宋体"/>
                <w:strike w:val="0"/>
                <w:dstrike w:val="0"/>
                <w:color w:val="auto"/>
                <w:sz w:val="24"/>
                <w:szCs w:val="24"/>
                <w:highlight w:val="none"/>
                <w:lang w:val="en-US" w:eastAsia="zh-CN"/>
              </w:rPr>
              <w:t>0.5</w:t>
            </w:r>
            <w:r>
              <w:rPr>
                <w:rFonts w:hint="eastAsia" w:ascii="宋体" w:hAnsi="宋体" w:eastAsia="宋体" w:cs="宋体"/>
                <w:strike w:val="0"/>
                <w:dstrike w:val="0"/>
                <w:color w:val="auto"/>
                <w:sz w:val="24"/>
                <w:szCs w:val="24"/>
                <w:highlight w:val="none"/>
              </w:rPr>
              <w:t>分。（以厂家承诺函为准。）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rPr>
              <w:t>0-1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设备赠送：赠送维修检测设备（故障分析仪）、同一批次全车玻璃</w:t>
            </w:r>
            <w:r>
              <w:rPr>
                <w:rFonts w:hint="eastAsia" w:ascii="宋体" w:hAnsi="宋体" w:eastAsia="宋体" w:cs="宋体"/>
                <w:color w:val="auto"/>
                <w:sz w:val="24"/>
                <w:szCs w:val="24"/>
                <w:highlight w:val="none"/>
                <w:lang w:eastAsia="zh-CN"/>
              </w:rPr>
              <w:t>及灯具两</w:t>
            </w:r>
            <w:r>
              <w:rPr>
                <w:rFonts w:hint="eastAsia" w:ascii="宋体" w:hAnsi="宋体" w:eastAsia="宋体" w:cs="宋体"/>
                <w:color w:val="auto"/>
                <w:sz w:val="24"/>
                <w:szCs w:val="24"/>
                <w:highlight w:val="none"/>
              </w:rPr>
              <w:t>套、全车窗帘一套，得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分，（提供设备清单所在页复印件加盖投标供应商公章）。</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61"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车辆生产周期实施计划方案由评委进行打分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其中:完全合理的得0.5-1</w:t>
            </w:r>
            <w:r>
              <w:rPr>
                <w:rFonts w:hint="eastAsia" w:ascii="宋体" w:hAnsi="宋体" w:cs="宋体"/>
                <w:color w:val="auto"/>
                <w:kern w:val="0"/>
                <w:sz w:val="24"/>
                <w:szCs w:val="24"/>
                <w:highlight w:val="none"/>
              </w:rPr>
              <w:t>分</w:t>
            </w:r>
            <w:r>
              <w:rPr>
                <w:rFonts w:hint="eastAsia" w:ascii="宋体" w:hAnsi="宋体" w:cs="宋体"/>
                <w:color w:val="auto"/>
                <w:sz w:val="24"/>
                <w:szCs w:val="24"/>
                <w:highlight w:val="none"/>
                <w:lang w:val="en-US" w:eastAsia="zh-CN"/>
              </w:rPr>
              <w:t>，基本合理的得0-0.5</w:t>
            </w:r>
            <w:r>
              <w:rPr>
                <w:rFonts w:hint="eastAsia" w:ascii="宋体" w:hAnsi="宋体" w:cs="宋体"/>
                <w:color w:val="auto"/>
                <w:kern w:val="0"/>
                <w:sz w:val="24"/>
                <w:szCs w:val="24"/>
                <w:highlight w:val="none"/>
              </w:rPr>
              <w:t>分</w:t>
            </w:r>
            <w:r>
              <w:rPr>
                <w:rFonts w:hint="eastAsia" w:ascii="宋体" w:hAnsi="宋体" w:cs="宋体"/>
                <w:color w:val="auto"/>
                <w:sz w:val="24"/>
                <w:szCs w:val="24"/>
                <w:highlight w:val="none"/>
                <w:lang w:val="en-US" w:eastAsia="zh-CN"/>
              </w:rPr>
              <w:t>。</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379" w:hRule="atLeast"/>
          <w:jc w:val="center"/>
        </w:trPr>
        <w:tc>
          <w:tcPr>
            <w:tcW w:w="5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w:t>
            </w: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rPr>
              <w:t>编制详细、合理、完善的售后服务方案；根据各投标供应商所投车辆在运营期间发生故障，</w:t>
            </w:r>
            <w:r>
              <w:rPr>
                <w:rFonts w:hint="eastAsia" w:ascii="宋体" w:hAnsi="宋体" w:cs="宋体"/>
                <w:color w:val="auto"/>
                <w:kern w:val="0"/>
                <w:sz w:val="24"/>
                <w:szCs w:val="24"/>
                <w:highlight w:val="none"/>
                <w:lang w:eastAsia="zh-CN"/>
              </w:rPr>
              <w:t>驻点服务、</w:t>
            </w:r>
            <w:r>
              <w:rPr>
                <w:rFonts w:hint="eastAsia" w:ascii="宋体" w:hAnsi="宋体" w:cs="宋体"/>
                <w:color w:val="auto"/>
                <w:kern w:val="0"/>
                <w:sz w:val="24"/>
                <w:szCs w:val="24"/>
                <w:highlight w:val="none"/>
              </w:rPr>
              <w:t>实际排故能力、维修汽配供应及时性、技术力量配置、国内售后体系得奖等售后服务保障情况，由评委进行打分。其中：完全合理得</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rPr>
              <w:t>分；基本</w:t>
            </w:r>
            <w:r>
              <w:rPr>
                <w:rFonts w:hint="eastAsia" w:ascii="宋体" w:hAnsi="宋体" w:cs="宋体"/>
                <w:color w:val="auto"/>
                <w:kern w:val="0"/>
                <w:sz w:val="24"/>
                <w:szCs w:val="24"/>
                <w:highlight w:val="none"/>
                <w:lang w:eastAsia="zh-CN"/>
              </w:rPr>
              <w:t>合理</w:t>
            </w:r>
            <w:r>
              <w:rPr>
                <w:rFonts w:hint="eastAsia" w:ascii="宋体" w:hAnsi="宋体" w:cs="宋体"/>
                <w:color w:val="auto"/>
                <w:kern w:val="0"/>
                <w:sz w:val="24"/>
                <w:szCs w:val="24"/>
                <w:highlight w:val="none"/>
              </w:rPr>
              <w:t>得</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分；部分</w:t>
            </w:r>
            <w:r>
              <w:rPr>
                <w:rFonts w:hint="eastAsia" w:ascii="宋体" w:hAnsi="宋体" w:cs="宋体"/>
                <w:color w:val="auto"/>
                <w:kern w:val="0"/>
                <w:sz w:val="24"/>
                <w:szCs w:val="24"/>
                <w:highlight w:val="none"/>
                <w:lang w:eastAsia="zh-CN"/>
              </w:rPr>
              <w:t>合理</w:t>
            </w:r>
            <w:r>
              <w:rPr>
                <w:rFonts w:hint="eastAsia" w:ascii="宋体" w:hAnsi="宋体" w:cs="宋体"/>
                <w:color w:val="auto"/>
                <w:kern w:val="0"/>
                <w:sz w:val="24"/>
                <w:szCs w:val="24"/>
                <w:highlight w:val="none"/>
              </w:rPr>
              <w:t>得0-1分。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szCs w:val="24"/>
                <w:highlight w:val="none"/>
                <w:lang w:val="en-US" w:eastAsia="zh-CN"/>
              </w:rPr>
              <w:t>0-3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机构设立地点</w:t>
            </w:r>
            <w:r>
              <w:rPr>
                <w:rFonts w:hint="eastAsia" w:ascii="宋体" w:hAnsi="宋体" w:cs="宋体"/>
                <w:color w:val="auto"/>
                <w:kern w:val="0"/>
                <w:sz w:val="24"/>
                <w:szCs w:val="24"/>
                <w:highlight w:val="none"/>
                <w:lang w:eastAsia="zh-CN"/>
              </w:rPr>
              <w:t>：根据投标供应商售后服务机构设立情况，由评委进行打分。</w:t>
            </w:r>
            <w:r>
              <w:rPr>
                <w:rFonts w:hint="eastAsia" w:ascii="宋体" w:hAnsi="宋体" w:cs="宋体"/>
                <w:color w:val="auto"/>
                <w:kern w:val="0"/>
                <w:sz w:val="24"/>
                <w:szCs w:val="24"/>
                <w:highlight w:val="none"/>
              </w:rPr>
              <w:t>其中：完全合理得</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rPr>
              <w:t>分；基本</w:t>
            </w:r>
            <w:r>
              <w:rPr>
                <w:rFonts w:hint="eastAsia" w:ascii="宋体" w:hAnsi="宋体" w:cs="宋体"/>
                <w:color w:val="auto"/>
                <w:kern w:val="0"/>
                <w:sz w:val="24"/>
                <w:szCs w:val="24"/>
                <w:highlight w:val="none"/>
                <w:lang w:eastAsia="zh-CN"/>
              </w:rPr>
              <w:t>合理</w:t>
            </w:r>
            <w:r>
              <w:rPr>
                <w:rFonts w:hint="eastAsia" w:ascii="宋体" w:hAnsi="宋体" w:cs="宋体"/>
                <w:color w:val="auto"/>
                <w:kern w:val="0"/>
                <w:sz w:val="24"/>
                <w:szCs w:val="24"/>
                <w:highlight w:val="none"/>
              </w:rPr>
              <w:t>得</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分；部分</w:t>
            </w:r>
            <w:r>
              <w:rPr>
                <w:rFonts w:hint="eastAsia" w:ascii="宋体" w:hAnsi="宋体" w:cs="宋体"/>
                <w:color w:val="auto"/>
                <w:kern w:val="0"/>
                <w:sz w:val="24"/>
                <w:szCs w:val="24"/>
                <w:highlight w:val="none"/>
                <w:lang w:eastAsia="zh-CN"/>
              </w:rPr>
              <w:t>合理</w:t>
            </w:r>
            <w:r>
              <w:rPr>
                <w:rFonts w:hint="eastAsia" w:ascii="宋体" w:hAnsi="宋体" w:cs="宋体"/>
                <w:color w:val="auto"/>
                <w:kern w:val="0"/>
                <w:sz w:val="24"/>
                <w:szCs w:val="24"/>
                <w:highlight w:val="none"/>
              </w:rPr>
              <w:t>得0-1分。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0-3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lang w:eastAsia="zh-CN"/>
              </w:rPr>
              <w:t>根据投标供应商存放于采购人指定地点的</w:t>
            </w:r>
            <w:r>
              <w:rPr>
                <w:rFonts w:hint="eastAsia"/>
                <w:color w:val="auto"/>
                <w:sz w:val="24"/>
                <w:szCs w:val="24"/>
                <w:highlight w:val="none"/>
              </w:rPr>
              <w:t>8年质保备件清单</w:t>
            </w:r>
            <w:r>
              <w:rPr>
                <w:rFonts w:hint="eastAsia"/>
                <w:color w:val="auto"/>
                <w:sz w:val="24"/>
                <w:szCs w:val="24"/>
                <w:highlight w:val="none"/>
                <w:lang w:eastAsia="zh-CN"/>
              </w:rPr>
              <w:t>，</w:t>
            </w:r>
            <w:r>
              <w:rPr>
                <w:rFonts w:hint="eastAsia" w:ascii="宋体" w:hAnsi="宋体" w:cs="宋体"/>
                <w:color w:val="auto"/>
                <w:kern w:val="0"/>
                <w:sz w:val="24"/>
                <w:szCs w:val="24"/>
                <w:highlight w:val="none"/>
                <w:lang w:eastAsia="zh-CN"/>
              </w:rPr>
              <w:t>由评委进行打分。</w:t>
            </w:r>
            <w:r>
              <w:rPr>
                <w:rFonts w:hint="eastAsia" w:ascii="宋体" w:hAnsi="宋体" w:cs="宋体"/>
                <w:color w:val="auto"/>
                <w:kern w:val="0"/>
                <w:sz w:val="24"/>
                <w:szCs w:val="24"/>
                <w:highlight w:val="none"/>
              </w:rPr>
              <w:t>其中：完全合理得</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分；基本</w:t>
            </w:r>
            <w:r>
              <w:rPr>
                <w:rFonts w:hint="eastAsia" w:ascii="宋体" w:hAnsi="宋体" w:cs="宋体"/>
                <w:color w:val="auto"/>
                <w:kern w:val="0"/>
                <w:sz w:val="24"/>
                <w:szCs w:val="24"/>
                <w:highlight w:val="none"/>
                <w:lang w:eastAsia="zh-CN"/>
              </w:rPr>
              <w:t>合理</w:t>
            </w:r>
            <w:r>
              <w:rPr>
                <w:rFonts w:hint="eastAsia" w:ascii="宋体" w:hAnsi="宋体" w:cs="宋体"/>
                <w:color w:val="auto"/>
                <w:kern w:val="0"/>
                <w:sz w:val="24"/>
                <w:szCs w:val="24"/>
                <w:highlight w:val="none"/>
              </w:rPr>
              <w:t>得</w:t>
            </w:r>
            <w:r>
              <w:rPr>
                <w:rFonts w:hint="eastAsia" w:ascii="宋体" w:hAnsi="宋体" w:cs="宋体"/>
                <w:color w:val="auto"/>
                <w:kern w:val="0"/>
                <w:sz w:val="24"/>
                <w:szCs w:val="24"/>
                <w:highlight w:val="none"/>
                <w:lang w:val="en-US" w:eastAsia="zh-CN"/>
              </w:rPr>
              <w:t>0-1</w:t>
            </w:r>
            <w:r>
              <w:rPr>
                <w:rFonts w:hint="eastAsia" w:ascii="宋体" w:hAnsi="宋体" w:cs="宋体"/>
                <w:color w:val="auto"/>
                <w:kern w:val="0"/>
                <w:sz w:val="24"/>
                <w:szCs w:val="24"/>
                <w:highlight w:val="none"/>
              </w:rPr>
              <w:t>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szCs w:val="24"/>
                <w:highlight w:val="none"/>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color w:val="auto"/>
                <w:sz w:val="24"/>
                <w:szCs w:val="24"/>
                <w:highlight w:val="none"/>
              </w:rPr>
              <w:t>采购单位指派多名维修人员到中标厂家进行技术培训，培训内容：车辆的组成结构，车辆的使用原理，操作注意事项，故障排除，维护与检修。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培训计划：所投车辆上线组装调试期间，厂家合理安排培训课时，对委陪人员进行理论知识及上生产线实际操作培训。由评委进行打分；其中：完全合理得1.3-2分；基本</w:t>
            </w:r>
            <w:r>
              <w:rPr>
                <w:rFonts w:hint="eastAsia"/>
                <w:color w:val="auto"/>
                <w:sz w:val="24"/>
                <w:szCs w:val="24"/>
                <w:highlight w:val="none"/>
                <w:lang w:eastAsia="zh-CN"/>
              </w:rPr>
              <w:t>合理</w:t>
            </w:r>
            <w:r>
              <w:rPr>
                <w:rFonts w:hint="eastAsia"/>
                <w:color w:val="auto"/>
                <w:sz w:val="24"/>
                <w:szCs w:val="24"/>
                <w:highlight w:val="none"/>
              </w:rPr>
              <w:t>得0.7-1.3分；部分</w:t>
            </w:r>
            <w:r>
              <w:rPr>
                <w:rFonts w:hint="eastAsia"/>
                <w:color w:val="auto"/>
                <w:sz w:val="24"/>
                <w:szCs w:val="24"/>
                <w:highlight w:val="none"/>
                <w:lang w:eastAsia="zh-CN"/>
              </w:rPr>
              <w:t>合理</w:t>
            </w:r>
            <w:r>
              <w:rPr>
                <w:rFonts w:hint="eastAsia"/>
                <w:color w:val="auto"/>
                <w:sz w:val="24"/>
                <w:szCs w:val="24"/>
                <w:highlight w:val="none"/>
              </w:rPr>
              <w:t>得0-0.7分。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szCs w:val="24"/>
                <w:highlight w:val="none"/>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5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78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eastAsia="zh-CN"/>
              </w:rPr>
              <w:t>根据投标供应商整车质保时间（整车质保时间承诺书必需包含整车（</w:t>
            </w:r>
            <w:r>
              <w:rPr>
                <w:rFonts w:hint="eastAsia" w:ascii="宋体" w:hAnsi="宋体" w:cs="宋体"/>
                <w:color w:val="auto"/>
                <w:kern w:val="0"/>
                <w:sz w:val="24"/>
                <w:szCs w:val="24"/>
                <w:highlight w:val="none"/>
                <w:lang w:val="en-US" w:eastAsia="zh-CN"/>
              </w:rPr>
              <w:t>除必须质保八年部件清单外</w:t>
            </w:r>
            <w:r>
              <w:rPr>
                <w:rFonts w:hint="eastAsia" w:ascii="宋体" w:hAnsi="宋体" w:cs="宋体"/>
                <w:color w:val="auto"/>
                <w:kern w:val="0"/>
                <w:sz w:val="24"/>
                <w:szCs w:val="24"/>
                <w:highlight w:val="none"/>
                <w:lang w:eastAsia="zh-CN"/>
              </w:rPr>
              <w:t>）所含具体零部件质保时间不低于整车</w:t>
            </w:r>
            <w:r>
              <w:rPr>
                <w:rFonts w:hint="eastAsia" w:ascii="宋体" w:hAnsi="宋体" w:cs="宋体"/>
                <w:color w:val="auto"/>
                <w:kern w:val="0"/>
                <w:sz w:val="24"/>
                <w:szCs w:val="24"/>
                <w:highlight w:val="none"/>
                <w:lang w:val="en-US" w:eastAsia="zh-CN"/>
              </w:rPr>
              <w:t>质保时间两年（易耗件除外）</w:t>
            </w:r>
            <w:r>
              <w:rPr>
                <w:rFonts w:hint="eastAsia" w:ascii="宋体" w:hAnsi="宋体" w:cs="宋体"/>
                <w:color w:val="auto"/>
                <w:kern w:val="0"/>
                <w:sz w:val="24"/>
                <w:szCs w:val="24"/>
                <w:highlight w:val="none"/>
                <w:lang w:eastAsia="zh-CN"/>
              </w:rPr>
              <w:t>，由评委进行打分。其中：</w:t>
            </w:r>
            <w:r>
              <w:rPr>
                <w:rFonts w:hint="eastAsia" w:ascii="宋体" w:hAnsi="宋体" w:cs="宋体"/>
                <w:color w:val="auto"/>
                <w:kern w:val="0"/>
                <w:sz w:val="24"/>
                <w:szCs w:val="24"/>
                <w:highlight w:val="none"/>
                <w:lang w:val="en-US" w:eastAsia="zh-CN"/>
              </w:rPr>
              <w:t>整车质保时间延长一年的并结合易耗件覆盖情况得0-1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整车质保时间延长两年的并结合易耗件覆盖情况得0-2</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整车质保时间延长三年的并结合易耗件覆盖情况得0-3</w:t>
            </w:r>
            <w:r>
              <w:rPr>
                <w:rFonts w:hint="eastAsia" w:ascii="宋体" w:hAnsi="宋体" w:cs="宋体"/>
                <w:color w:val="auto"/>
                <w:kern w:val="0"/>
                <w:sz w:val="24"/>
                <w:szCs w:val="24"/>
                <w:highlight w:val="none"/>
                <w:lang w:eastAsia="zh-CN"/>
              </w:rPr>
              <w:t>；</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szCs w:val="24"/>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99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0</w:t>
            </w:r>
          </w:p>
        </w:tc>
      </w:tr>
    </w:tbl>
    <w:p>
      <w:pPr>
        <w:pStyle w:val="24"/>
        <w:adjustRightInd w:val="0"/>
        <w:snapToGrid w:val="0"/>
        <w:spacing w:line="400" w:lineRule="exact"/>
        <w:rPr>
          <w:rFonts w:hint="eastAsia" w:hAnsi="宋体" w:cs="宋体"/>
          <w:b/>
          <w:color w:val="auto"/>
          <w:szCs w:val="22"/>
          <w:highlight w:val="none"/>
        </w:rPr>
      </w:pPr>
    </w:p>
    <w:p>
      <w:pPr>
        <w:pStyle w:val="24"/>
        <w:adjustRightInd w:val="0"/>
        <w:snapToGrid w:val="0"/>
        <w:spacing w:line="400" w:lineRule="exact"/>
        <w:rPr>
          <w:rFonts w:hint="eastAsia" w:hAnsi="宋体" w:cs="宋体"/>
          <w:b/>
          <w:color w:val="auto"/>
          <w:szCs w:val="22"/>
          <w:highlight w:val="none"/>
        </w:rPr>
      </w:pPr>
    </w:p>
    <w:p>
      <w:pPr>
        <w:pStyle w:val="24"/>
        <w:adjustRightInd w:val="0"/>
        <w:snapToGrid w:val="0"/>
        <w:spacing w:line="400" w:lineRule="exact"/>
        <w:rPr>
          <w:rFonts w:hint="default" w:hAnsi="宋体" w:eastAsia="宋体" w:cs="宋体"/>
          <w:b/>
          <w:color w:val="auto"/>
          <w:szCs w:val="22"/>
          <w:highlight w:val="none"/>
          <w:lang w:val="en-US" w:eastAsia="zh-CN"/>
        </w:rPr>
      </w:pPr>
      <w:r>
        <w:rPr>
          <w:rFonts w:hint="eastAsia" w:hAnsi="宋体" w:cs="宋体"/>
          <w:b/>
          <w:color w:val="auto"/>
          <w:szCs w:val="22"/>
          <w:highlight w:val="none"/>
          <w:lang w:val="en-US" w:eastAsia="zh-CN"/>
        </w:rPr>
        <w:t>标项二、</w:t>
      </w:r>
    </w:p>
    <w:tbl>
      <w:tblPr>
        <w:tblStyle w:val="42"/>
        <w:tblW w:w="10974" w:type="dxa"/>
        <w:tblInd w:w="-459"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560"/>
        <w:gridCol w:w="7881"/>
        <w:gridCol w:w="825"/>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8" w:type="dxa"/>
            <w:noWrap w:val="0"/>
            <w:vAlign w:val="center"/>
          </w:tcPr>
          <w:p>
            <w:pPr>
              <w:spacing w:line="276" w:lineRule="auto"/>
              <w:jc w:val="center"/>
              <w:rPr>
                <w:rFonts w:hint="eastAsia" w:ascii="宋体" w:hAnsi="宋体" w:cs="宋体"/>
                <w:b/>
                <w:color w:val="auto"/>
                <w:w w:val="90"/>
                <w:sz w:val="24"/>
                <w:highlight w:val="none"/>
              </w:rPr>
            </w:pPr>
            <w:r>
              <w:rPr>
                <w:rFonts w:hint="eastAsia" w:ascii="宋体" w:hAnsi="宋体" w:cs="宋体"/>
                <w:b/>
                <w:color w:val="auto"/>
                <w:w w:val="90"/>
                <w:sz w:val="24"/>
                <w:highlight w:val="none"/>
              </w:rPr>
              <w:t>序号</w:t>
            </w:r>
          </w:p>
        </w:tc>
        <w:tc>
          <w:tcPr>
            <w:tcW w:w="1560" w:type="dxa"/>
            <w:noWrap w:val="0"/>
            <w:vAlign w:val="center"/>
          </w:tcPr>
          <w:p>
            <w:pPr>
              <w:spacing w:line="276" w:lineRule="auto"/>
              <w:jc w:val="center"/>
              <w:rPr>
                <w:rFonts w:hint="eastAsia" w:ascii="宋体" w:hAnsi="宋体" w:cs="宋体"/>
                <w:b/>
                <w:color w:val="auto"/>
                <w:w w:val="90"/>
                <w:sz w:val="24"/>
                <w:highlight w:val="none"/>
              </w:rPr>
            </w:pPr>
            <w:r>
              <w:rPr>
                <w:rFonts w:hint="eastAsia" w:ascii="宋体" w:hAnsi="宋体" w:cs="宋体"/>
                <w:b/>
                <w:color w:val="auto"/>
                <w:w w:val="90"/>
                <w:sz w:val="24"/>
                <w:highlight w:val="none"/>
              </w:rPr>
              <w:t>评审内容</w:t>
            </w:r>
          </w:p>
        </w:tc>
        <w:tc>
          <w:tcPr>
            <w:tcW w:w="7881" w:type="dxa"/>
            <w:noWrap w:val="0"/>
            <w:vAlign w:val="center"/>
          </w:tcPr>
          <w:p>
            <w:pPr>
              <w:spacing w:line="276" w:lineRule="auto"/>
              <w:jc w:val="center"/>
              <w:rPr>
                <w:rFonts w:hint="eastAsia" w:ascii="宋体" w:hAnsi="宋体" w:cs="宋体"/>
                <w:b/>
                <w:color w:val="auto"/>
                <w:w w:val="90"/>
                <w:sz w:val="24"/>
                <w:highlight w:val="none"/>
              </w:rPr>
            </w:pPr>
            <w:r>
              <w:rPr>
                <w:rFonts w:hint="eastAsia" w:ascii="宋体" w:hAnsi="宋体" w:cs="宋体"/>
                <w:b/>
                <w:color w:val="auto"/>
                <w:w w:val="90"/>
                <w:sz w:val="24"/>
                <w:highlight w:val="none"/>
              </w:rPr>
              <w:t>评审细则</w:t>
            </w:r>
          </w:p>
        </w:tc>
        <w:tc>
          <w:tcPr>
            <w:tcW w:w="825" w:type="dxa"/>
            <w:noWrap w:val="0"/>
            <w:vAlign w:val="center"/>
          </w:tcPr>
          <w:p>
            <w:pPr>
              <w:spacing w:line="276" w:lineRule="auto"/>
              <w:jc w:val="center"/>
              <w:rPr>
                <w:rFonts w:hint="eastAsia" w:ascii="宋体" w:hAnsi="宋体" w:cs="宋体"/>
                <w:b/>
                <w:color w:val="auto"/>
                <w:w w:val="90"/>
                <w:sz w:val="24"/>
                <w:highlight w:val="none"/>
              </w:rPr>
            </w:pPr>
            <w:r>
              <w:rPr>
                <w:rFonts w:hint="eastAsia" w:ascii="宋体" w:hAnsi="宋体" w:cs="宋体"/>
                <w:b/>
                <w:color w:val="auto"/>
                <w:w w:val="90"/>
                <w:sz w:val="24"/>
                <w:highlight w:val="none"/>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708" w:type="dxa"/>
            <w:vMerge w:val="restart"/>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1</w:t>
            </w:r>
          </w:p>
        </w:tc>
        <w:tc>
          <w:tcPr>
            <w:tcW w:w="1560" w:type="dxa"/>
            <w:vMerge w:val="restart"/>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color w:val="auto"/>
                <w:sz w:val="24"/>
                <w:szCs w:val="24"/>
                <w:highlight w:val="none"/>
              </w:rPr>
              <w:t>资信及业绩</w:t>
            </w:r>
          </w:p>
        </w:tc>
        <w:tc>
          <w:tcPr>
            <w:tcW w:w="7881" w:type="dxa"/>
            <w:noWrap w:val="0"/>
            <w:vAlign w:val="center"/>
          </w:tcPr>
          <w:p>
            <w:pPr>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highlight w:val="none"/>
                <w:lang w:eastAsia="zh-CN"/>
              </w:rPr>
            </w:pPr>
            <w:r>
              <w:rPr>
                <w:rFonts w:hint="eastAsia" w:ascii="宋体" w:hAnsi="宋体" w:eastAsia="宋体" w:cs="宋体"/>
                <w:color w:val="auto"/>
                <w:sz w:val="24"/>
                <w:szCs w:val="24"/>
                <w:highlight w:val="none"/>
              </w:rPr>
              <w:sym w:font="Wingdings" w:char="F081"/>
            </w:r>
            <w:r>
              <w:rPr>
                <w:rFonts w:hint="eastAsia" w:ascii="宋体" w:hAnsi="宋体" w:eastAsia="宋体" w:cs="宋体"/>
                <w:color w:val="auto"/>
                <w:sz w:val="24"/>
                <w:szCs w:val="24"/>
                <w:highlight w:val="none"/>
              </w:rPr>
              <w:t>投标产品制造商</w:t>
            </w:r>
            <w:r>
              <w:rPr>
                <w:rFonts w:hint="eastAsia" w:ascii="宋体" w:hAnsi="宋体" w:cs="宋体"/>
                <w:color w:val="auto"/>
                <w:sz w:val="24"/>
                <w:szCs w:val="24"/>
                <w:highlight w:val="none"/>
                <w:lang w:val="en-US" w:eastAsia="zh-CN"/>
              </w:rPr>
              <w:t>有效的</w:t>
            </w:r>
            <w:r>
              <w:rPr>
                <w:rFonts w:hint="eastAsia"/>
                <w:highlight w:val="none"/>
                <w:lang w:eastAsia="zh-CN"/>
              </w:rPr>
              <w:t>质量管理体系认证证书；</w:t>
            </w:r>
            <w:r>
              <w:rPr>
                <w:rFonts w:hint="eastAsia" w:ascii="宋体" w:hAnsi="宋体" w:eastAsia="宋体" w:cs="宋体"/>
                <w:color w:val="auto"/>
                <w:sz w:val="24"/>
                <w:szCs w:val="24"/>
                <w:highlight w:val="none"/>
              </w:rPr>
              <w:t>②投标产品制造商</w:t>
            </w:r>
            <w:r>
              <w:rPr>
                <w:rFonts w:hint="eastAsia" w:ascii="宋体" w:hAnsi="宋体" w:cs="宋体"/>
                <w:color w:val="auto"/>
                <w:sz w:val="24"/>
                <w:szCs w:val="24"/>
                <w:highlight w:val="none"/>
                <w:lang w:val="en-US" w:eastAsia="zh-CN"/>
              </w:rPr>
              <w:t>有效的</w:t>
            </w:r>
            <w:r>
              <w:rPr>
                <w:rFonts w:hint="eastAsia"/>
                <w:highlight w:val="none"/>
                <w:lang w:eastAsia="zh-CN"/>
              </w:rPr>
              <w:t>环境管理体系认证证书每提供一项得</w:t>
            </w:r>
            <w:r>
              <w:rPr>
                <w:rFonts w:hint="eastAsia"/>
                <w:highlight w:val="none"/>
                <w:lang w:val="en-US" w:eastAsia="zh-CN"/>
              </w:rPr>
              <w:t>1</w:t>
            </w:r>
            <w:r>
              <w:rPr>
                <w:rFonts w:hint="eastAsia"/>
                <w:highlight w:val="none"/>
                <w:lang w:eastAsia="zh-CN"/>
              </w:rPr>
              <w:t>分，获得证书并在有效期内的，最高2分。</w:t>
            </w:r>
          </w:p>
          <w:p>
            <w:pPr>
              <w:keepLines w:val="0"/>
              <w:pageBreakBefore w:val="0"/>
              <w:widowControl w:val="0"/>
              <w:kinsoku/>
              <w:wordWrap/>
              <w:overflowPunct/>
              <w:topLinePunct w:val="0"/>
              <w:autoSpaceDE/>
              <w:autoSpaceDN/>
              <w:bidi w:val="0"/>
              <w:adjustRightInd/>
              <w:snapToGrid/>
              <w:spacing w:line="440" w:lineRule="exact"/>
              <w:jc w:val="left"/>
              <w:textAlignment w:val="auto"/>
              <w:rPr>
                <w:rFonts w:hint="default"/>
                <w:color w:val="auto"/>
                <w:sz w:val="24"/>
                <w:szCs w:val="24"/>
                <w:highlight w:val="none"/>
                <w:lang w:val="en-US" w:eastAsia="zh-CN"/>
              </w:rPr>
            </w:pPr>
            <w:r>
              <w:rPr>
                <w:rFonts w:hint="eastAsia"/>
                <w:highlight w:val="none"/>
                <w:lang w:eastAsia="zh-CN"/>
              </w:rPr>
              <w:t>（复印件加盖公章放入投标文件中，不提供不得分）。</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color w:val="auto"/>
                <w:w w:val="90"/>
                <w:sz w:val="24"/>
                <w:szCs w:val="24"/>
                <w:highlight w:val="none"/>
              </w:rPr>
            </w:pPr>
            <w:r>
              <w:rPr>
                <w:rFonts w:hint="eastAsia" w:ascii="宋体" w:hAnsi="宋体" w:eastAsia="宋体" w:cs="宋体"/>
                <w:color w:val="auto"/>
                <w:sz w:val="24"/>
                <w:szCs w:val="24"/>
                <w:highlight w:val="none"/>
              </w:rPr>
              <w:t>0-2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pStyle w:val="1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投标供应商或投标产品制造商自2018年1月1日（以合同签订时间为准）以来纯电公交车销售业绩业绩的，每个得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分，最多得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pPr>
              <w:pStyle w:val="16"/>
              <w:rPr>
                <w:rFonts w:hint="eastAsia"/>
                <w:color w:val="auto"/>
                <w:sz w:val="24"/>
                <w:szCs w:val="24"/>
                <w:highlight w:val="none"/>
                <w:lang w:eastAsia="zh-CN"/>
              </w:rPr>
            </w:pPr>
            <w:r>
              <w:rPr>
                <w:rFonts w:hint="eastAsia" w:ascii="宋体" w:hAnsi="宋体" w:eastAsia="宋体" w:cs="宋体"/>
                <w:color w:val="auto"/>
                <w:sz w:val="24"/>
                <w:szCs w:val="24"/>
                <w:highlight w:val="none"/>
                <w:lang w:eastAsia="zh-CN"/>
              </w:rPr>
              <w:t>注：</w:t>
            </w:r>
            <w:r>
              <w:rPr>
                <w:rFonts w:hint="eastAsia" w:ascii="宋体" w:hAnsi="宋体" w:cs="宋体"/>
                <w:color w:val="auto"/>
                <w:sz w:val="24"/>
                <w:szCs w:val="24"/>
                <w:highlight w:val="none"/>
                <w:lang w:val="en-US" w:eastAsia="zh-CN"/>
              </w:rPr>
              <w:t>需</w:t>
            </w:r>
            <w:r>
              <w:rPr>
                <w:rFonts w:hint="eastAsia" w:ascii="宋体" w:hAnsi="宋体" w:eastAsia="宋体" w:cs="宋体"/>
                <w:color w:val="auto"/>
                <w:sz w:val="24"/>
                <w:szCs w:val="24"/>
                <w:highlight w:val="none"/>
                <w:lang w:eastAsia="zh-CN"/>
              </w:rPr>
              <w:t>提供合同原件核查，</w:t>
            </w:r>
            <w:r>
              <w:rPr>
                <w:rFonts w:hint="eastAsia" w:ascii="宋体" w:hAnsi="宋体" w:cs="宋体"/>
                <w:color w:val="auto"/>
                <w:sz w:val="24"/>
                <w:szCs w:val="24"/>
                <w:highlight w:val="none"/>
                <w:lang w:val="en-US" w:eastAsia="zh-CN"/>
              </w:rPr>
              <w:t>不提供</w:t>
            </w:r>
            <w:r>
              <w:rPr>
                <w:rFonts w:hint="eastAsia" w:ascii="宋体" w:hAnsi="宋体" w:eastAsia="宋体" w:cs="宋体"/>
                <w:color w:val="auto"/>
                <w:sz w:val="24"/>
                <w:szCs w:val="24"/>
                <w:highlight w:val="none"/>
                <w:lang w:eastAsia="zh-CN"/>
              </w:rPr>
              <w:t>不得分。</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w w:val="90"/>
                <w:sz w:val="24"/>
                <w:szCs w:val="24"/>
                <w:highlight w:val="none"/>
                <w:lang w:eastAsia="zh-CN"/>
              </w:rPr>
            </w:pPr>
            <w:r>
              <w:rPr>
                <w:rFonts w:hint="eastAsia" w:ascii="宋体" w:hAnsi="宋体" w:eastAsia="宋体" w:cs="宋体"/>
                <w:color w:val="auto"/>
                <w:sz w:val="24"/>
                <w:szCs w:val="24"/>
                <w:highlight w:val="none"/>
              </w:rPr>
              <w:t>0-3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default"/>
                <w:color w:val="auto"/>
                <w:sz w:val="24"/>
                <w:szCs w:val="24"/>
                <w:highlight w:val="none"/>
                <w:lang w:val="en-US" w:eastAsia="zh-CN"/>
              </w:rPr>
            </w:pPr>
            <w:r>
              <w:rPr>
                <w:rFonts w:hint="eastAsia"/>
                <w:strike w:val="0"/>
                <w:dstrike w:val="0"/>
                <w:color w:val="auto"/>
                <w:sz w:val="24"/>
                <w:szCs w:val="24"/>
                <w:highlight w:val="none"/>
                <w:shd w:val="clear" w:color="auto" w:fill="auto"/>
                <w:lang w:eastAsia="zh-CN"/>
              </w:rPr>
              <w:t>根据投标人已销售的车辆用户反馈情况</w:t>
            </w:r>
            <w:r>
              <w:rPr>
                <w:rFonts w:hint="eastAsia"/>
                <w:strike w:val="0"/>
                <w:dstrike w:val="0"/>
                <w:color w:val="auto"/>
                <w:sz w:val="24"/>
                <w:szCs w:val="24"/>
                <w:highlight w:val="none"/>
                <w:shd w:val="clear" w:color="auto" w:fill="auto"/>
                <w:lang w:val="en-US" w:eastAsia="zh-CN"/>
              </w:rPr>
              <w:t>（</w:t>
            </w:r>
            <w:r>
              <w:rPr>
                <w:rFonts w:hint="eastAsia"/>
                <w:strike w:val="0"/>
                <w:dstrike w:val="0"/>
                <w:color w:val="auto"/>
                <w:sz w:val="24"/>
                <w:szCs w:val="24"/>
                <w:highlight w:val="none"/>
                <w:shd w:val="clear" w:color="auto" w:fill="auto"/>
                <w:lang w:eastAsia="zh-CN"/>
              </w:rPr>
              <w:t>提供用户反馈证明复印件加盖公章</w:t>
            </w:r>
            <w:r>
              <w:rPr>
                <w:rFonts w:hint="eastAsia"/>
                <w:strike w:val="0"/>
                <w:dstrike w:val="0"/>
                <w:color w:val="auto"/>
                <w:sz w:val="24"/>
                <w:szCs w:val="24"/>
                <w:highlight w:val="none"/>
                <w:shd w:val="clear" w:color="auto" w:fill="auto"/>
                <w:lang w:val="en-US" w:eastAsia="zh-CN"/>
              </w:rPr>
              <w:t>）</w:t>
            </w:r>
            <w:r>
              <w:rPr>
                <w:rFonts w:hint="eastAsia"/>
                <w:strike w:val="0"/>
                <w:dstrike w:val="0"/>
                <w:color w:val="auto"/>
                <w:sz w:val="24"/>
                <w:szCs w:val="24"/>
                <w:highlight w:val="none"/>
                <w:shd w:val="clear" w:color="auto" w:fill="auto"/>
                <w:lang w:eastAsia="zh-CN"/>
              </w:rPr>
              <w:t>、质量可靠性、运行稳定性等由评委进行打分</w:t>
            </w:r>
            <w:r>
              <w:rPr>
                <w:rFonts w:hint="eastAsia"/>
                <w:strike w:val="0"/>
                <w:dstrike w:val="0"/>
                <w:color w:val="auto"/>
                <w:sz w:val="24"/>
                <w:szCs w:val="24"/>
                <w:highlight w:val="none"/>
                <w:shd w:val="clear" w:color="auto" w:fill="auto"/>
                <w:lang w:val="en-US" w:eastAsia="zh-CN"/>
              </w:rPr>
              <w:t>。</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szCs w:val="24"/>
                <w:highlight w:val="none"/>
                <w:lang w:val="en-US" w:eastAsia="zh-CN"/>
              </w:rPr>
              <w:t>0-</w:t>
            </w:r>
            <w:r>
              <w:rPr>
                <w:rFonts w:hint="eastAsia" w:ascii="宋体" w:hAnsi="宋体" w:eastAsia="宋体" w:cs="宋体"/>
                <w:color w:val="auto"/>
                <w:w w:val="90"/>
                <w:sz w:val="24"/>
                <w:szCs w:val="24"/>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8"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2</w:t>
            </w:r>
          </w:p>
        </w:tc>
        <w:tc>
          <w:tcPr>
            <w:tcW w:w="1560"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color w:val="auto"/>
                <w:sz w:val="24"/>
                <w:szCs w:val="24"/>
                <w:highlight w:val="none"/>
              </w:rPr>
              <w:t>所投产品技术指标、性能等与采购需求的符合性</w:t>
            </w:r>
          </w:p>
        </w:tc>
        <w:tc>
          <w:tcPr>
            <w:tcW w:w="788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评审各投标供应商所投车辆的技术指标、性能等若有一项“★”不满足的，每项扣1分，其它项不满足的每项扣0.5分，扣完为止</w:t>
            </w:r>
            <w:r>
              <w:rPr>
                <w:rFonts w:hint="eastAsia" w:ascii="宋体" w:hAnsi="宋体" w:cs="宋体"/>
                <w:color w:val="auto"/>
                <w:sz w:val="24"/>
                <w:szCs w:val="24"/>
                <w:highlight w:val="none"/>
                <w:lang w:val="en-US" w:eastAsia="zh-CN"/>
              </w:rPr>
              <w:t>（0-12分）</w:t>
            </w:r>
            <w:r>
              <w:rPr>
                <w:rFonts w:hint="eastAsia" w:ascii="宋体" w:hAnsi="宋体" w:eastAsia="宋体" w:cs="宋体"/>
                <w:color w:val="auto"/>
                <w:sz w:val="24"/>
                <w:szCs w:val="24"/>
                <w:highlight w:val="none"/>
                <w:lang w:val="en-US" w:eastAsia="zh-CN"/>
              </w:rPr>
              <w:t>。</w:t>
            </w:r>
          </w:p>
          <w:p>
            <w:pPr>
              <w:pStyle w:val="2"/>
              <w:rPr>
                <w:rFonts w:hint="eastAsia"/>
                <w:highlight w:val="none"/>
                <w:lang w:eastAsia="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评审各投标供应商所投车辆的技术指标、性能等优于采购文件要求的每项加0.5分，最多得3分（正偏离加分由评审组商定）</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sz w:val="24"/>
                <w:szCs w:val="24"/>
                <w:highlight w:val="none"/>
                <w:lang w:val="en-US" w:eastAsia="zh-CN"/>
              </w:rPr>
            </w:pPr>
            <w:r>
              <w:rPr>
                <w:rFonts w:hint="eastAsia" w:ascii="宋体" w:hAnsi="宋体" w:cs="宋体"/>
                <w:color w:val="auto"/>
                <w:w w:val="90"/>
                <w:sz w:val="24"/>
                <w:szCs w:val="24"/>
                <w:highlight w:val="none"/>
                <w:lang w:val="en-US" w:eastAsia="zh-CN"/>
              </w:rPr>
              <w:t>0-</w:t>
            </w:r>
            <w:r>
              <w:rPr>
                <w:rFonts w:hint="eastAsia" w:ascii="宋体" w:hAnsi="宋体" w:cs="宋体"/>
                <w:color w:val="auto"/>
                <w:w w:val="90"/>
                <w:sz w:val="24"/>
                <w:szCs w:val="24"/>
                <w:highlight w:val="none"/>
              </w:rPr>
              <w:t>1</w:t>
            </w:r>
            <w:r>
              <w:rPr>
                <w:rFonts w:hint="eastAsia" w:ascii="宋体" w:hAnsi="宋体" w:cs="宋体"/>
                <w:color w:val="auto"/>
                <w:w w:val="90"/>
                <w:sz w:val="24"/>
                <w:szCs w:val="24"/>
                <w:highlight w:val="none"/>
                <w:lang w:val="en-US" w:eastAsia="zh-CN"/>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708" w:type="dxa"/>
            <w:vMerge w:val="restart"/>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3</w:t>
            </w:r>
          </w:p>
        </w:tc>
        <w:tc>
          <w:tcPr>
            <w:tcW w:w="1560" w:type="dxa"/>
            <w:vMerge w:val="restart"/>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所投产品的整体比较</w:t>
            </w: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ascii="宋体" w:hAnsi="宋体" w:eastAsia="宋体" w:cs="宋体"/>
                <w:color w:val="auto"/>
                <w:sz w:val="24"/>
                <w:szCs w:val="24"/>
                <w:highlight w:val="none"/>
              </w:rPr>
              <w:t>防腐设备：防腐设备和防腐性能：①投标供应商整车制造厂已投入整车阴极电泳设备得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分（以电泳设备采购合同</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采购发票复印件加盖公章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rPr>
              <w:t>不得分）。②整车（包括车身主要覆盖件、骨架、底盘车架、前、后尾金属保险杠）经阴极电泳得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分，其余不得分（投标供应商需提供承诺8年以上不腐蚀的</w:t>
            </w:r>
            <w:r>
              <w:rPr>
                <w:rFonts w:hint="eastAsia" w:ascii="宋体" w:hAnsi="宋体" w:eastAsia="宋体" w:cs="宋体"/>
                <w:color w:val="auto"/>
                <w:sz w:val="24"/>
                <w:szCs w:val="24"/>
                <w:highlight w:val="none"/>
                <w:lang w:val="en-US" w:eastAsia="zh-CN"/>
              </w:rPr>
              <w:t>证明材料</w:t>
            </w:r>
            <w:r>
              <w:rPr>
                <w:rFonts w:hint="eastAsia" w:ascii="宋体" w:hAnsi="宋体" w:eastAsia="宋体" w:cs="宋体"/>
                <w:color w:val="auto"/>
                <w:sz w:val="24"/>
                <w:szCs w:val="24"/>
                <w:highlight w:val="none"/>
              </w:rPr>
              <w:t>、工艺证明，否则不得分）</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w w:val="90"/>
                <w:sz w:val="24"/>
                <w:szCs w:val="24"/>
                <w:highlight w:val="none"/>
                <w:lang w:val="en-US" w:eastAsia="zh-CN"/>
              </w:rPr>
            </w:pPr>
            <w:r>
              <w:rPr>
                <w:rFonts w:hint="eastAsia" w:ascii="宋体" w:hAnsi="宋体" w:cs="宋体"/>
                <w:color w:val="auto"/>
                <w:w w:val="90"/>
                <w:sz w:val="24"/>
                <w:szCs w:val="24"/>
                <w:highlight w:val="none"/>
                <w:lang w:val="en-US" w:eastAsia="zh-CN"/>
              </w:rPr>
              <w:t>0-</w:t>
            </w:r>
            <w:r>
              <w:rPr>
                <w:rFonts w:hint="eastAsia" w:ascii="宋体" w:hAnsi="宋体" w:eastAsia="宋体" w:cs="宋体"/>
                <w:color w:val="auto"/>
                <w:w w:val="90"/>
                <w:sz w:val="24"/>
                <w:szCs w:val="24"/>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针对</w:t>
            </w:r>
            <w:r>
              <w:rPr>
                <w:rFonts w:hint="eastAsia" w:ascii="宋体" w:hAnsi="宋体" w:eastAsia="宋体" w:cs="宋体"/>
                <w:color w:val="auto"/>
                <w:sz w:val="24"/>
                <w:szCs w:val="24"/>
                <w:highlight w:val="none"/>
                <w:lang w:val="en-US" w:eastAsia="zh-CN"/>
              </w:rPr>
              <w:t>车辆制造商在车辆生产配套产品采购中所采购电机、车桥、空调及压缩机、空压机、免维护轮毂、轮胎等</w:t>
            </w:r>
            <w:r>
              <w:rPr>
                <w:rFonts w:hint="eastAsia" w:ascii="宋体" w:hAnsi="宋体" w:eastAsia="宋体" w:cs="宋体"/>
                <w:color w:val="auto"/>
                <w:sz w:val="24"/>
                <w:szCs w:val="24"/>
                <w:highlight w:val="none"/>
                <w:lang w:eastAsia="zh-CN"/>
              </w:rPr>
              <w:t>主要零部件的</w:t>
            </w:r>
            <w:r>
              <w:rPr>
                <w:rFonts w:hint="eastAsia" w:ascii="宋体" w:hAnsi="宋体" w:cs="宋体"/>
                <w:color w:val="auto"/>
                <w:sz w:val="24"/>
                <w:szCs w:val="24"/>
                <w:highlight w:val="none"/>
                <w:lang w:val="en-US" w:eastAsia="zh-CN"/>
              </w:rPr>
              <w:t>配置</w:t>
            </w:r>
            <w:r>
              <w:rPr>
                <w:rFonts w:hint="eastAsia" w:ascii="宋体" w:hAnsi="宋体" w:eastAsia="宋体" w:cs="宋体"/>
                <w:color w:val="auto"/>
                <w:sz w:val="24"/>
                <w:szCs w:val="24"/>
                <w:highlight w:val="none"/>
                <w:lang w:val="en-US" w:eastAsia="zh-CN"/>
              </w:rPr>
              <w:t>情况，</w:t>
            </w:r>
            <w:r>
              <w:rPr>
                <w:rFonts w:hint="eastAsia" w:ascii="宋体" w:hAnsi="宋体" w:eastAsia="宋体" w:cs="宋体"/>
                <w:color w:val="auto"/>
                <w:sz w:val="24"/>
                <w:szCs w:val="24"/>
                <w:highlight w:val="none"/>
                <w:lang w:eastAsia="zh-CN"/>
              </w:rPr>
              <w:t>由评委</w:t>
            </w:r>
            <w:r>
              <w:rPr>
                <w:rFonts w:hint="eastAsia" w:ascii="宋体" w:hAnsi="宋体" w:eastAsia="宋体" w:cs="宋体"/>
                <w:color w:val="auto"/>
                <w:sz w:val="24"/>
                <w:szCs w:val="24"/>
                <w:highlight w:val="none"/>
                <w:lang w:val="en-US" w:eastAsia="zh-CN"/>
              </w:rPr>
              <w:t>根据配套件的配置情况</w:t>
            </w:r>
            <w:r>
              <w:rPr>
                <w:rFonts w:hint="eastAsia" w:ascii="宋体" w:hAnsi="宋体" w:eastAsia="宋体" w:cs="宋体"/>
                <w:color w:val="auto"/>
                <w:sz w:val="24"/>
                <w:szCs w:val="24"/>
                <w:highlight w:val="none"/>
                <w:lang w:eastAsia="zh-CN"/>
              </w:rPr>
              <w:t>进行打分</w:t>
            </w:r>
            <w:r>
              <w:rPr>
                <w:rFonts w:hint="eastAsia" w:ascii="宋体" w:hAnsi="宋体" w:eastAsia="宋体" w:cs="宋体"/>
                <w:color w:val="auto"/>
                <w:sz w:val="24"/>
                <w:szCs w:val="24"/>
                <w:highlight w:val="none"/>
                <w:lang w:val="en-US" w:eastAsia="zh-CN"/>
              </w:rPr>
              <w:t>。</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根据投标供应商所投车型的整车控制器集成程度的</w:t>
            </w:r>
            <w:r>
              <w:rPr>
                <w:rFonts w:hint="eastAsia" w:ascii="宋体" w:hAnsi="宋体" w:eastAsia="宋体" w:cs="宋体"/>
                <w:color w:val="auto"/>
                <w:sz w:val="24"/>
                <w:szCs w:val="24"/>
                <w:highlight w:val="none"/>
                <w:lang w:val="en-US" w:eastAsia="zh-CN"/>
              </w:rPr>
              <w:t>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由评委进行打分，</w:t>
            </w:r>
            <w:r>
              <w:rPr>
                <w:rFonts w:hint="eastAsia" w:ascii="宋体" w:hAnsi="宋体" w:eastAsia="宋体" w:cs="宋体"/>
                <w:color w:val="auto"/>
                <w:sz w:val="24"/>
                <w:szCs w:val="24"/>
                <w:highlight w:val="none"/>
                <w:lang w:eastAsia="zh-CN"/>
              </w:rPr>
              <w:t>提供第三方检测报告，复印件加盖公章。</w:t>
            </w:r>
            <w:r>
              <w:rPr>
                <w:rFonts w:hint="eastAsia" w:ascii="宋体" w:hAnsi="宋体" w:eastAsia="宋体" w:cs="宋体"/>
                <w:color w:val="auto"/>
                <w:sz w:val="24"/>
                <w:szCs w:val="24"/>
                <w:highlight w:val="none"/>
                <w:lang w:val="en-US" w:eastAsia="zh-CN"/>
              </w:rPr>
              <w:t>其中：完全合理的得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分，基本合理的得0-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w w:val="90"/>
                <w:sz w:val="24"/>
                <w:szCs w:val="24"/>
                <w:highlight w:val="none"/>
                <w:lang w:val="en-US" w:eastAsia="zh-CN"/>
              </w:rPr>
              <w:t>0-2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lang w:eastAsia="zh-CN"/>
              </w:rPr>
            </w:pPr>
            <w:r>
              <w:rPr>
                <w:rFonts w:hint="eastAsia"/>
                <w:color w:val="auto"/>
                <w:sz w:val="24"/>
                <w:szCs w:val="24"/>
                <w:highlight w:val="none"/>
                <w:lang w:eastAsia="zh-CN"/>
              </w:rPr>
              <w:t>辅助系统：车辆坡道起步辅助装置；停车自动驻车功能；车门未关闭禁止行驶装置；每提供一项得1分，共3分。（提供设备投入承诺证明材料原件核查，复印件加盖公章放入投标文件中，不提供不得分）</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0-</w:t>
            </w:r>
            <w:r>
              <w:rPr>
                <w:rFonts w:hint="eastAsia"/>
                <w:color w:val="auto"/>
                <w:sz w:val="24"/>
                <w:szCs w:val="24"/>
                <w:highlight w:val="none"/>
                <w:lang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lang w:val="en-US" w:eastAsia="zh-CN"/>
              </w:rPr>
            </w:pPr>
            <w:r>
              <w:rPr>
                <w:rFonts w:hint="eastAsia"/>
                <w:color w:val="auto"/>
                <w:sz w:val="24"/>
                <w:szCs w:val="24"/>
                <w:highlight w:val="none"/>
                <w:lang w:eastAsia="zh-CN"/>
              </w:rPr>
              <w:t>采用气囊悬挂的</w:t>
            </w:r>
            <w:r>
              <w:rPr>
                <w:rFonts w:hint="eastAsia"/>
                <w:color w:val="auto"/>
                <w:sz w:val="24"/>
                <w:szCs w:val="24"/>
                <w:highlight w:val="none"/>
                <w:lang w:val="en-US" w:eastAsia="zh-CN"/>
              </w:rPr>
              <w:t>得1分，钢板悬挂不得分。（以投标车型公告页及投标供应商承诺为准）</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0-1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lang w:eastAsia="zh-CN"/>
              </w:rPr>
            </w:pPr>
            <w:r>
              <w:rPr>
                <w:rFonts w:hint="eastAsia"/>
                <w:color w:val="auto"/>
                <w:sz w:val="24"/>
                <w:szCs w:val="24"/>
                <w:highlight w:val="none"/>
                <w:lang w:eastAsia="zh-CN"/>
              </w:rPr>
              <w:t>动力电池（1）：根据投标人选用的电池整体</w:t>
            </w:r>
            <w:r>
              <w:rPr>
                <w:rFonts w:hint="eastAsia"/>
                <w:color w:val="auto"/>
                <w:sz w:val="24"/>
                <w:szCs w:val="24"/>
                <w:highlight w:val="none"/>
                <w:lang w:val="en-US" w:eastAsia="zh-CN"/>
              </w:rPr>
              <w:t>安全</w:t>
            </w:r>
            <w:r>
              <w:rPr>
                <w:rFonts w:hint="eastAsia"/>
                <w:color w:val="auto"/>
                <w:sz w:val="24"/>
                <w:szCs w:val="24"/>
                <w:highlight w:val="none"/>
                <w:lang w:eastAsia="zh-CN"/>
              </w:rPr>
              <w:t>性能</w:t>
            </w:r>
            <w:r>
              <w:rPr>
                <w:rFonts w:hint="eastAsia"/>
                <w:color w:val="auto"/>
                <w:sz w:val="24"/>
                <w:szCs w:val="24"/>
                <w:highlight w:val="none"/>
                <w:lang w:val="en-US" w:eastAsia="zh-CN"/>
              </w:rPr>
              <w:t>的</w:t>
            </w:r>
            <w:r>
              <w:rPr>
                <w:rFonts w:hint="eastAsia"/>
                <w:color w:val="auto"/>
                <w:sz w:val="24"/>
                <w:szCs w:val="24"/>
                <w:highlight w:val="none"/>
                <w:lang w:eastAsia="zh-CN"/>
              </w:rPr>
              <w:t>用户反馈情况</w:t>
            </w:r>
            <w:r>
              <w:rPr>
                <w:rFonts w:hint="eastAsia"/>
                <w:color w:val="auto"/>
                <w:sz w:val="24"/>
                <w:szCs w:val="24"/>
                <w:highlight w:val="none"/>
                <w:lang w:val="en-US" w:eastAsia="zh-CN"/>
              </w:rPr>
              <w:t>（</w:t>
            </w:r>
            <w:r>
              <w:rPr>
                <w:rFonts w:hint="eastAsia"/>
                <w:color w:val="auto"/>
                <w:sz w:val="24"/>
                <w:szCs w:val="24"/>
                <w:highlight w:val="none"/>
                <w:lang w:eastAsia="zh-CN"/>
              </w:rPr>
              <w:t>提供用户反馈证明复印件加盖公章</w:t>
            </w:r>
            <w:r>
              <w:rPr>
                <w:rFonts w:hint="eastAsia"/>
                <w:color w:val="auto"/>
                <w:sz w:val="24"/>
                <w:szCs w:val="24"/>
                <w:highlight w:val="none"/>
                <w:lang w:val="en-US" w:eastAsia="zh-CN"/>
              </w:rPr>
              <w:t>）</w:t>
            </w:r>
            <w:r>
              <w:rPr>
                <w:rFonts w:hint="eastAsia"/>
                <w:color w:val="auto"/>
                <w:sz w:val="24"/>
                <w:szCs w:val="24"/>
                <w:highlight w:val="none"/>
                <w:lang w:eastAsia="zh-CN"/>
              </w:rPr>
              <w:t>、质量可靠性、运行稳定性等，评委进行打分。</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default"/>
                <w:color w:val="auto"/>
                <w:sz w:val="24"/>
                <w:szCs w:val="24"/>
                <w:highlight w:val="none"/>
                <w:lang w:val="en-US" w:eastAsia="zh-CN"/>
              </w:rPr>
            </w:pPr>
            <w:r>
              <w:rPr>
                <w:rFonts w:hint="eastAsia" w:ascii="宋体" w:hAnsi="宋体" w:cs="宋体"/>
                <w:color w:val="auto"/>
                <w:w w:val="90"/>
                <w:sz w:val="24"/>
                <w:szCs w:val="24"/>
                <w:highlight w:val="none"/>
                <w:lang w:val="en-US" w:eastAsia="zh-CN"/>
              </w:rPr>
              <w:t>0-</w:t>
            </w:r>
            <w:r>
              <w:rPr>
                <w:rFonts w:hint="eastAsia"/>
                <w:color w:val="auto"/>
                <w:sz w:val="24"/>
                <w:szCs w:val="24"/>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lang w:eastAsia="zh-CN"/>
              </w:rPr>
            </w:pPr>
            <w:r>
              <w:rPr>
                <w:rFonts w:hint="eastAsia"/>
                <w:color w:val="auto"/>
                <w:sz w:val="24"/>
                <w:szCs w:val="24"/>
                <w:highlight w:val="none"/>
                <w:lang w:eastAsia="zh-CN"/>
              </w:rPr>
              <w:t>动力电池（2）：投标人采用的动力电池生产企业售后服务能力通过国家标准GB/T27922-2011《商品售后服务评价体系》认证并获得证书，取得七星及以上的得</w:t>
            </w:r>
            <w:r>
              <w:rPr>
                <w:rFonts w:hint="eastAsia"/>
                <w:color w:val="auto"/>
                <w:sz w:val="24"/>
                <w:szCs w:val="24"/>
                <w:highlight w:val="none"/>
                <w:lang w:val="en-US" w:eastAsia="zh-CN"/>
              </w:rPr>
              <w:t>2</w:t>
            </w:r>
            <w:r>
              <w:rPr>
                <w:rFonts w:hint="eastAsia"/>
                <w:color w:val="auto"/>
                <w:sz w:val="24"/>
                <w:szCs w:val="24"/>
                <w:highlight w:val="none"/>
                <w:lang w:eastAsia="zh-CN"/>
              </w:rPr>
              <w:t>分；取得六星的得</w:t>
            </w:r>
            <w:r>
              <w:rPr>
                <w:rFonts w:hint="eastAsia"/>
                <w:color w:val="auto"/>
                <w:sz w:val="24"/>
                <w:szCs w:val="24"/>
                <w:highlight w:val="none"/>
                <w:lang w:val="en-US" w:eastAsia="zh-CN"/>
              </w:rPr>
              <w:t>1</w:t>
            </w:r>
            <w:r>
              <w:rPr>
                <w:rFonts w:hint="eastAsia"/>
                <w:color w:val="auto"/>
                <w:sz w:val="24"/>
                <w:szCs w:val="24"/>
                <w:highlight w:val="none"/>
                <w:lang w:eastAsia="zh-CN"/>
              </w:rPr>
              <w:t>分；（提供相关证明扫描件加盖公章，复印件放入投标文件中）</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lang w:val="en-US" w:eastAsia="zh-CN"/>
              </w:rPr>
            </w:pPr>
            <w:r>
              <w:rPr>
                <w:rFonts w:hint="eastAsia" w:ascii="宋体" w:hAnsi="宋体" w:cs="宋体"/>
                <w:color w:val="auto"/>
                <w:w w:val="90"/>
                <w:sz w:val="24"/>
                <w:szCs w:val="24"/>
                <w:highlight w:val="none"/>
                <w:lang w:val="en-US" w:eastAsia="zh-CN"/>
              </w:rPr>
              <w:t>0-</w:t>
            </w:r>
            <w:r>
              <w:rPr>
                <w:rFonts w:hint="eastAsia"/>
                <w:color w:val="auto"/>
                <w:sz w:val="24"/>
                <w:szCs w:val="24"/>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default"/>
                <w:color w:val="auto"/>
                <w:sz w:val="24"/>
                <w:szCs w:val="24"/>
                <w:highlight w:val="none"/>
                <w:lang w:val="en-US" w:eastAsia="zh-CN"/>
              </w:rPr>
            </w:pPr>
            <w:r>
              <w:rPr>
                <w:rFonts w:hint="eastAsia"/>
                <w:color w:val="auto"/>
                <w:sz w:val="24"/>
                <w:szCs w:val="24"/>
                <w:highlight w:val="none"/>
                <w:lang w:eastAsia="zh-CN"/>
              </w:rPr>
              <w:t>动力电池（3）：根据投标供应商选用的动力电池容量以</w:t>
            </w:r>
            <w:r>
              <w:rPr>
                <w:rFonts w:hint="eastAsia"/>
                <w:color w:val="auto"/>
                <w:sz w:val="24"/>
                <w:szCs w:val="24"/>
                <w:highlight w:val="none"/>
                <w:lang w:val="en-US" w:eastAsia="zh-CN"/>
              </w:rPr>
              <w:t>120</w:t>
            </w:r>
            <w:r>
              <w:rPr>
                <w:rFonts w:hint="eastAsia"/>
                <w:color w:val="auto"/>
                <w:sz w:val="24"/>
                <w:szCs w:val="24"/>
                <w:highlight w:val="none"/>
                <w:lang w:eastAsia="zh-CN"/>
              </w:rPr>
              <w:t>KWh为基数，每增加1KWh加0.</w:t>
            </w:r>
            <w:r>
              <w:rPr>
                <w:rFonts w:hint="eastAsia"/>
                <w:color w:val="auto"/>
                <w:sz w:val="24"/>
                <w:szCs w:val="24"/>
                <w:highlight w:val="none"/>
                <w:lang w:val="en-US" w:eastAsia="zh-CN"/>
              </w:rPr>
              <w:t>1</w:t>
            </w:r>
            <w:r>
              <w:rPr>
                <w:rFonts w:hint="eastAsia"/>
                <w:color w:val="auto"/>
                <w:sz w:val="24"/>
                <w:szCs w:val="24"/>
                <w:highlight w:val="none"/>
                <w:lang w:eastAsia="zh-CN"/>
              </w:rPr>
              <w:t>分，但最高不高于</w:t>
            </w:r>
            <w:r>
              <w:rPr>
                <w:rFonts w:hint="eastAsia"/>
                <w:color w:val="auto"/>
                <w:sz w:val="24"/>
                <w:szCs w:val="24"/>
                <w:highlight w:val="none"/>
                <w:lang w:val="en-US" w:eastAsia="zh-CN"/>
              </w:rPr>
              <w:t>4</w:t>
            </w:r>
            <w:r>
              <w:rPr>
                <w:rFonts w:hint="eastAsia"/>
                <w:color w:val="auto"/>
                <w:sz w:val="24"/>
                <w:szCs w:val="24"/>
                <w:highlight w:val="none"/>
                <w:lang w:eastAsia="zh-CN"/>
              </w:rPr>
              <w:t>分。</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lang w:eastAsia="zh-CN"/>
              </w:rPr>
            </w:pPr>
            <w:r>
              <w:rPr>
                <w:rFonts w:hint="eastAsia" w:ascii="宋体" w:hAnsi="宋体" w:cs="宋体"/>
                <w:color w:val="auto"/>
                <w:w w:val="90"/>
                <w:sz w:val="24"/>
                <w:szCs w:val="24"/>
                <w:highlight w:val="none"/>
                <w:lang w:val="en-US" w:eastAsia="zh-CN"/>
              </w:rPr>
              <w:t>0-</w:t>
            </w:r>
            <w:r>
              <w:rPr>
                <w:rFonts w:hint="eastAsia"/>
                <w:color w:val="auto"/>
                <w:sz w:val="24"/>
                <w:szCs w:val="24"/>
                <w:highlight w:val="none"/>
                <w:lang w:eastAsia="zh-CN"/>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highlight w:val="none"/>
                <w:lang w:val="en-US" w:eastAsia="zh-CN"/>
              </w:rPr>
            </w:pPr>
            <w:r>
              <w:rPr>
                <w:rFonts w:hint="eastAsia"/>
                <w:highlight w:val="none"/>
                <w:lang w:eastAsia="zh-CN"/>
              </w:rPr>
              <w:t>动力电池（</w:t>
            </w:r>
            <w:r>
              <w:rPr>
                <w:rFonts w:hint="eastAsia"/>
                <w:highlight w:val="none"/>
                <w:lang w:val="en-US" w:eastAsia="zh-CN"/>
              </w:rPr>
              <w:t>4</w:t>
            </w:r>
            <w:r>
              <w:rPr>
                <w:rFonts w:hint="eastAsia"/>
                <w:highlight w:val="none"/>
                <w:lang w:eastAsia="zh-CN"/>
              </w:rPr>
              <w:t>）：</w:t>
            </w:r>
            <w:r>
              <w:rPr>
                <w:rFonts w:ascii="宋体" w:hAnsi="宋体" w:eastAsia="宋体" w:cs="宋体"/>
                <w:sz w:val="24"/>
                <w:szCs w:val="24"/>
              </w:rPr>
              <w:t>所投车型电池和电芯产品的兼容情况进行打分，最高得1分。</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w w:val="90"/>
                <w:sz w:val="24"/>
                <w:szCs w:val="24"/>
                <w:highlight w:val="none"/>
                <w:lang w:val="en-US" w:eastAsia="zh-CN"/>
              </w:rPr>
              <w:t>0-</w:t>
            </w:r>
            <w:r>
              <w:rPr>
                <w:rFonts w:hint="eastAsia"/>
                <w:color w:val="auto"/>
                <w:sz w:val="24"/>
                <w:szCs w:val="24"/>
                <w:highlight w:val="none"/>
                <w:lang w:val="en-US" w:eastAsia="zh-CN"/>
              </w:rP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lang w:eastAsia="zh-CN"/>
              </w:rPr>
            </w:pPr>
            <w:r>
              <w:rPr>
                <w:rFonts w:hint="eastAsia" w:ascii="宋体" w:hAnsi="宋体" w:eastAsia="宋体" w:cs="宋体"/>
                <w:b w:val="0"/>
                <w:bCs w:val="0"/>
                <w:color w:val="auto"/>
                <w:w w:val="90"/>
                <w:sz w:val="24"/>
                <w:szCs w:val="24"/>
                <w:highlight w:val="none"/>
              </w:rPr>
              <w:t>电池舱设计：</w:t>
            </w:r>
            <w:r>
              <w:rPr>
                <w:rFonts w:hint="eastAsia"/>
                <w:color w:val="auto"/>
                <w:sz w:val="24"/>
                <w:szCs w:val="24"/>
                <w:highlight w:val="none"/>
              </w:rPr>
              <w:t>电池舱与乘客舱完全隔离，电池与乘客舱之间形成空间和热量隔离，并在电池舱体内壁加装防火隔热的材料及自动消防灭火装置。（提供实车照片并且出具书面说明函为准，未提供齐全的不得分）评委根据投入的设备及材料进行打分</w:t>
            </w:r>
            <w:r>
              <w:rPr>
                <w:rFonts w:hint="eastAsia"/>
                <w:color w:val="auto"/>
                <w:sz w:val="24"/>
                <w:szCs w:val="24"/>
                <w:highlight w:val="none"/>
                <w:lang w:eastAsia="zh-CN"/>
              </w:rPr>
              <w:t>。</w:t>
            </w:r>
          </w:p>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color w:val="auto"/>
                <w:sz w:val="24"/>
                <w:szCs w:val="24"/>
                <w:highlight w:val="none"/>
                <w:lang w:val="en-US" w:eastAsia="zh-CN"/>
              </w:rPr>
              <w:t>其中：</w:t>
            </w:r>
            <w:r>
              <w:rPr>
                <w:rFonts w:hint="eastAsia"/>
                <w:color w:val="auto"/>
                <w:sz w:val="24"/>
                <w:szCs w:val="24"/>
                <w:highlight w:val="none"/>
              </w:rPr>
              <w:t>电池舱设计完全合理满足采购</w:t>
            </w:r>
            <w:r>
              <w:rPr>
                <w:rFonts w:hint="eastAsia"/>
                <w:color w:val="auto"/>
                <w:sz w:val="24"/>
                <w:szCs w:val="24"/>
                <w:highlight w:val="none"/>
                <w:lang w:eastAsia="zh-CN"/>
              </w:rPr>
              <w:t>方</w:t>
            </w:r>
            <w:r>
              <w:rPr>
                <w:rFonts w:hint="eastAsia"/>
                <w:color w:val="auto"/>
                <w:sz w:val="24"/>
                <w:szCs w:val="24"/>
                <w:highlight w:val="none"/>
              </w:rPr>
              <w:t>要求</w:t>
            </w:r>
            <w:r>
              <w:rPr>
                <w:rFonts w:hint="eastAsia"/>
                <w:color w:val="auto"/>
                <w:sz w:val="24"/>
                <w:szCs w:val="24"/>
                <w:highlight w:val="none"/>
                <w:lang w:val="en-US" w:eastAsia="zh-CN"/>
              </w:rPr>
              <w:t>的</w:t>
            </w:r>
            <w:r>
              <w:rPr>
                <w:rFonts w:hint="eastAsia"/>
                <w:color w:val="auto"/>
                <w:sz w:val="24"/>
                <w:szCs w:val="24"/>
                <w:highlight w:val="none"/>
              </w:rPr>
              <w:t>得0.</w:t>
            </w:r>
            <w:r>
              <w:rPr>
                <w:rFonts w:hint="eastAsia"/>
                <w:color w:val="auto"/>
                <w:sz w:val="24"/>
                <w:szCs w:val="24"/>
                <w:highlight w:val="none"/>
                <w:lang w:val="en-US" w:eastAsia="zh-CN"/>
              </w:rPr>
              <w:t>5</w:t>
            </w:r>
            <w:r>
              <w:rPr>
                <w:rFonts w:hint="eastAsia"/>
                <w:color w:val="auto"/>
                <w:sz w:val="24"/>
                <w:szCs w:val="24"/>
                <w:highlight w:val="none"/>
              </w:rPr>
              <w:t>-1分；基本满足采购</w:t>
            </w:r>
            <w:r>
              <w:rPr>
                <w:rFonts w:hint="eastAsia"/>
                <w:color w:val="auto"/>
                <w:sz w:val="24"/>
                <w:szCs w:val="24"/>
                <w:highlight w:val="none"/>
                <w:lang w:eastAsia="zh-CN"/>
              </w:rPr>
              <w:t>方</w:t>
            </w:r>
            <w:r>
              <w:rPr>
                <w:rFonts w:hint="eastAsia"/>
                <w:color w:val="auto"/>
                <w:sz w:val="24"/>
                <w:szCs w:val="24"/>
                <w:highlight w:val="none"/>
              </w:rPr>
              <w:t>要求</w:t>
            </w:r>
            <w:r>
              <w:rPr>
                <w:rFonts w:hint="eastAsia"/>
                <w:color w:val="auto"/>
                <w:sz w:val="24"/>
                <w:szCs w:val="24"/>
                <w:highlight w:val="none"/>
                <w:lang w:val="en-US" w:eastAsia="zh-CN"/>
              </w:rPr>
              <w:t>的</w:t>
            </w:r>
            <w:r>
              <w:rPr>
                <w:rFonts w:hint="eastAsia"/>
                <w:color w:val="auto"/>
                <w:sz w:val="24"/>
                <w:szCs w:val="24"/>
                <w:highlight w:val="none"/>
              </w:rPr>
              <w:t>得</w:t>
            </w:r>
            <w:r>
              <w:rPr>
                <w:rFonts w:hint="eastAsia"/>
                <w:color w:val="auto"/>
                <w:sz w:val="24"/>
                <w:szCs w:val="24"/>
                <w:highlight w:val="none"/>
                <w:lang w:val="en-US" w:eastAsia="zh-CN"/>
              </w:rPr>
              <w:t>0-0.5</w:t>
            </w:r>
            <w:r>
              <w:rPr>
                <w:rFonts w:hint="eastAsia"/>
                <w:color w:val="auto"/>
                <w:sz w:val="24"/>
                <w:szCs w:val="24"/>
                <w:highlight w:val="none"/>
              </w:rPr>
              <w:t>分。</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ascii="宋体" w:hAnsi="宋体" w:cs="宋体"/>
                <w:color w:val="auto"/>
                <w:w w:val="90"/>
                <w:sz w:val="24"/>
                <w:szCs w:val="24"/>
                <w:highlight w:val="none"/>
                <w:lang w:val="en-US" w:eastAsia="zh-CN"/>
              </w:rPr>
              <w:t>0-</w:t>
            </w:r>
            <w:r>
              <w:rPr>
                <w:rFonts w:hint="eastAsia"/>
                <w:color w:val="auto"/>
                <w:sz w:val="24"/>
                <w:szCs w:val="24"/>
                <w:highlight w:val="none"/>
              </w:rP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color w:val="auto"/>
                <w:sz w:val="24"/>
                <w:szCs w:val="24"/>
                <w:highlight w:val="none"/>
              </w:rPr>
              <w:t>车辆外观与内饰：符合小型城市客车公交车型，适用城乡道路、旅游景区运营，外观要美观新颖，维修简便、操作简便、内饰材料耐脏易清洗布置合理、色彩搭配柔和、前后过道小圆角人性化设计等，</w:t>
            </w:r>
            <w:r>
              <w:rPr>
                <w:rFonts w:hint="eastAsia"/>
                <w:color w:val="auto"/>
                <w:sz w:val="24"/>
                <w:szCs w:val="24"/>
                <w:highlight w:val="none"/>
                <w:lang w:eastAsia="zh-CN"/>
              </w:rPr>
              <w:t>以及内部空间的利用率</w:t>
            </w:r>
            <w:r>
              <w:rPr>
                <w:rFonts w:hint="eastAsia"/>
                <w:color w:val="auto"/>
                <w:sz w:val="24"/>
                <w:szCs w:val="24"/>
                <w:highlight w:val="none"/>
              </w:rPr>
              <w:t>（提供实车前、后正面照片，左、右侧45度角车身照片，车内驾驶室、车内由前向后、由后向前照片，并且出具内饰特殊材料书面说明函为准）由评委进行打分。其中：完全合理完全满足采购</w:t>
            </w:r>
            <w:r>
              <w:rPr>
                <w:rFonts w:hint="eastAsia"/>
                <w:color w:val="auto"/>
                <w:sz w:val="24"/>
                <w:szCs w:val="24"/>
                <w:highlight w:val="none"/>
                <w:lang w:eastAsia="zh-CN"/>
              </w:rPr>
              <w:t>方</w:t>
            </w:r>
            <w:r>
              <w:rPr>
                <w:rFonts w:hint="eastAsia"/>
                <w:color w:val="auto"/>
                <w:sz w:val="24"/>
                <w:szCs w:val="24"/>
                <w:highlight w:val="none"/>
              </w:rPr>
              <w:t>要求</w:t>
            </w:r>
            <w:r>
              <w:rPr>
                <w:rFonts w:hint="eastAsia"/>
                <w:color w:val="auto"/>
                <w:sz w:val="24"/>
                <w:szCs w:val="24"/>
                <w:highlight w:val="none"/>
                <w:lang w:val="en-US" w:eastAsia="zh-CN"/>
              </w:rPr>
              <w:t>的得</w:t>
            </w:r>
            <w:r>
              <w:rPr>
                <w:rFonts w:hint="eastAsia"/>
                <w:color w:val="auto"/>
                <w:sz w:val="24"/>
                <w:szCs w:val="24"/>
                <w:highlight w:val="none"/>
              </w:rPr>
              <w:t>3.5-5分；基本满足采购</w:t>
            </w:r>
            <w:r>
              <w:rPr>
                <w:rFonts w:hint="eastAsia"/>
                <w:color w:val="auto"/>
                <w:sz w:val="24"/>
                <w:szCs w:val="24"/>
                <w:highlight w:val="none"/>
                <w:lang w:eastAsia="zh-CN"/>
              </w:rPr>
              <w:t>方</w:t>
            </w:r>
            <w:r>
              <w:rPr>
                <w:rFonts w:hint="eastAsia"/>
                <w:color w:val="auto"/>
                <w:sz w:val="24"/>
                <w:szCs w:val="24"/>
                <w:highlight w:val="none"/>
              </w:rPr>
              <w:t>要求</w:t>
            </w:r>
            <w:r>
              <w:rPr>
                <w:rFonts w:hint="eastAsia"/>
                <w:color w:val="auto"/>
                <w:sz w:val="24"/>
                <w:szCs w:val="24"/>
                <w:highlight w:val="none"/>
                <w:lang w:val="en-US" w:eastAsia="zh-CN"/>
              </w:rPr>
              <w:t>的</w:t>
            </w:r>
            <w:r>
              <w:rPr>
                <w:rFonts w:hint="eastAsia"/>
                <w:color w:val="auto"/>
                <w:sz w:val="24"/>
                <w:szCs w:val="24"/>
                <w:highlight w:val="none"/>
              </w:rPr>
              <w:t>得1.5-3.5分；部分满足采购</w:t>
            </w:r>
            <w:r>
              <w:rPr>
                <w:rFonts w:hint="eastAsia"/>
                <w:color w:val="auto"/>
                <w:sz w:val="24"/>
                <w:szCs w:val="24"/>
                <w:highlight w:val="none"/>
                <w:lang w:eastAsia="zh-CN"/>
              </w:rPr>
              <w:t>方</w:t>
            </w:r>
            <w:r>
              <w:rPr>
                <w:rFonts w:hint="eastAsia"/>
                <w:color w:val="auto"/>
                <w:sz w:val="24"/>
                <w:szCs w:val="24"/>
                <w:highlight w:val="none"/>
              </w:rPr>
              <w:t>要求</w:t>
            </w:r>
            <w:r>
              <w:rPr>
                <w:rFonts w:hint="eastAsia"/>
                <w:color w:val="auto"/>
                <w:sz w:val="24"/>
                <w:szCs w:val="24"/>
                <w:highlight w:val="none"/>
                <w:lang w:val="en-US" w:eastAsia="zh-CN"/>
              </w:rPr>
              <w:t>的</w:t>
            </w:r>
            <w:r>
              <w:rPr>
                <w:rFonts w:hint="eastAsia"/>
                <w:color w:val="auto"/>
                <w:sz w:val="24"/>
                <w:szCs w:val="24"/>
                <w:highlight w:val="none"/>
              </w:rPr>
              <w:t>得0-1.5分。</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lang w:val="en-US" w:eastAsia="zh-CN"/>
              </w:rPr>
              <w:t>0-</w:t>
            </w:r>
            <w:r>
              <w:rPr>
                <w:rFonts w:hint="eastAsia" w:ascii="宋体" w:hAnsi="宋体" w:cs="宋体"/>
                <w:color w:val="auto"/>
                <w:w w:val="90"/>
                <w:sz w:val="24"/>
                <w:szCs w:val="24"/>
                <w:highlight w:val="none"/>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color w:val="auto"/>
                <w:sz w:val="24"/>
                <w:szCs w:val="24"/>
                <w:highlight w:val="none"/>
              </w:rPr>
              <w:t>设备赠送：赠送维修检测设备（故障分析仪），同一批次全车玻璃两套、全车灯具两套，</w:t>
            </w:r>
            <w:r>
              <w:rPr>
                <w:rFonts w:hint="eastAsia" w:ascii="宋体" w:hAnsi="宋体" w:eastAsia="宋体" w:cs="宋体"/>
                <w:color w:val="auto"/>
                <w:sz w:val="24"/>
                <w:szCs w:val="24"/>
                <w:highlight w:val="none"/>
              </w:rPr>
              <w:t>全车窗帘一套</w:t>
            </w:r>
            <w:r>
              <w:rPr>
                <w:rFonts w:hint="eastAsia"/>
                <w:color w:val="auto"/>
                <w:sz w:val="24"/>
                <w:szCs w:val="24"/>
                <w:highlight w:val="none"/>
              </w:rPr>
              <w:t>得</w:t>
            </w:r>
            <w:r>
              <w:rPr>
                <w:rFonts w:hint="eastAsia"/>
                <w:color w:val="auto"/>
                <w:sz w:val="24"/>
                <w:szCs w:val="24"/>
                <w:highlight w:val="none"/>
                <w:lang w:val="en-US" w:eastAsia="zh-CN"/>
              </w:rPr>
              <w:t>3</w:t>
            </w:r>
            <w:r>
              <w:rPr>
                <w:rFonts w:hint="eastAsia"/>
                <w:color w:val="auto"/>
                <w:sz w:val="24"/>
                <w:szCs w:val="24"/>
                <w:highlight w:val="none"/>
              </w:rPr>
              <w:t>分，缺少任意一项不得分。（提供设备清单所在页复印件加盖投标供应商公章）。</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sz w:val="24"/>
                <w:szCs w:val="24"/>
                <w:highlight w:val="none"/>
                <w:lang w:val="en-US" w:eastAsia="zh-CN"/>
              </w:rPr>
            </w:pPr>
            <w:r>
              <w:rPr>
                <w:rFonts w:hint="eastAsia" w:ascii="宋体" w:hAnsi="宋体" w:cs="宋体"/>
                <w:color w:val="auto"/>
                <w:w w:val="90"/>
                <w:sz w:val="24"/>
                <w:szCs w:val="24"/>
                <w:highlight w:val="none"/>
                <w:lang w:val="en-US" w:eastAsia="zh-CN"/>
              </w:rPr>
              <w:t>0-3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062" w:hRule="atLeast"/>
        </w:trPr>
        <w:tc>
          <w:tcPr>
            <w:tcW w:w="708" w:type="dxa"/>
            <w:vMerge w:val="restart"/>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4</w:t>
            </w:r>
          </w:p>
        </w:tc>
        <w:tc>
          <w:tcPr>
            <w:tcW w:w="1560" w:type="dxa"/>
            <w:vMerge w:val="restart"/>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color w:val="auto"/>
                <w:sz w:val="24"/>
                <w:szCs w:val="24"/>
                <w:highlight w:val="none"/>
              </w:rPr>
              <w:t>售后服务承诺</w:t>
            </w: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ascii="宋体" w:hAnsi="宋体" w:cs="宋体"/>
                <w:color w:val="auto"/>
                <w:kern w:val="0"/>
                <w:sz w:val="24"/>
                <w:szCs w:val="24"/>
                <w:highlight w:val="none"/>
              </w:rPr>
              <w:t>编制详细、合理、完善的售后服务方案；根据各投标供应商所投车辆在运营期间发生故障，</w:t>
            </w:r>
            <w:r>
              <w:rPr>
                <w:rFonts w:hint="eastAsia" w:ascii="宋体" w:hAnsi="宋体" w:cs="宋体"/>
                <w:color w:val="auto"/>
                <w:kern w:val="0"/>
                <w:sz w:val="24"/>
                <w:szCs w:val="24"/>
                <w:highlight w:val="none"/>
                <w:lang w:eastAsia="zh-CN"/>
              </w:rPr>
              <w:t>驻点服务、</w:t>
            </w:r>
            <w:r>
              <w:rPr>
                <w:rFonts w:hint="eastAsia" w:ascii="宋体" w:hAnsi="宋体" w:cs="宋体"/>
                <w:color w:val="auto"/>
                <w:kern w:val="0"/>
                <w:sz w:val="24"/>
                <w:szCs w:val="24"/>
                <w:highlight w:val="none"/>
              </w:rPr>
              <w:t>实际排故能力、维修汽配供应及时性、技术力量配置、国内售后体系得奖等售后服务保障情况，由评委进行打分。其中：完全合理得</w:t>
            </w:r>
            <w:r>
              <w:rPr>
                <w:rFonts w:hint="eastAsia" w:ascii="宋体" w:hAnsi="宋体" w:cs="宋体"/>
                <w:color w:val="auto"/>
                <w:kern w:val="0"/>
                <w:sz w:val="24"/>
                <w:szCs w:val="24"/>
                <w:highlight w:val="none"/>
                <w:lang w:val="en-US" w:eastAsia="zh-CN"/>
              </w:rPr>
              <w:t>3.5-5</w:t>
            </w:r>
            <w:r>
              <w:rPr>
                <w:rFonts w:hint="eastAsia" w:ascii="宋体" w:hAnsi="宋体" w:cs="宋体"/>
                <w:color w:val="auto"/>
                <w:kern w:val="0"/>
                <w:sz w:val="24"/>
                <w:szCs w:val="24"/>
                <w:highlight w:val="none"/>
              </w:rPr>
              <w:t>分；基本</w:t>
            </w:r>
            <w:r>
              <w:rPr>
                <w:rFonts w:hint="eastAsia" w:ascii="宋体" w:hAnsi="宋体" w:cs="宋体"/>
                <w:color w:val="auto"/>
                <w:kern w:val="0"/>
                <w:sz w:val="24"/>
                <w:szCs w:val="24"/>
                <w:highlight w:val="none"/>
                <w:lang w:eastAsia="zh-CN"/>
              </w:rPr>
              <w:t>合理</w:t>
            </w:r>
            <w:r>
              <w:rPr>
                <w:rFonts w:hint="eastAsia" w:ascii="宋体" w:hAnsi="宋体" w:cs="宋体"/>
                <w:color w:val="auto"/>
                <w:kern w:val="0"/>
                <w:sz w:val="24"/>
                <w:szCs w:val="24"/>
                <w:highlight w:val="none"/>
              </w:rPr>
              <w:t>得2-3</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分；部分</w:t>
            </w:r>
            <w:r>
              <w:rPr>
                <w:rFonts w:hint="eastAsia" w:ascii="宋体" w:hAnsi="宋体" w:cs="宋体"/>
                <w:color w:val="auto"/>
                <w:kern w:val="0"/>
                <w:sz w:val="24"/>
                <w:szCs w:val="24"/>
                <w:highlight w:val="none"/>
                <w:lang w:eastAsia="zh-CN"/>
              </w:rPr>
              <w:t>合理</w:t>
            </w:r>
            <w:r>
              <w:rPr>
                <w:rFonts w:hint="eastAsia" w:ascii="宋体" w:hAnsi="宋体" w:cs="宋体"/>
                <w:color w:val="auto"/>
                <w:kern w:val="0"/>
                <w:sz w:val="24"/>
                <w:szCs w:val="24"/>
                <w:highlight w:val="none"/>
              </w:rPr>
              <w:t>得0-</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w w:val="90"/>
                <w:sz w:val="24"/>
                <w:szCs w:val="24"/>
                <w:highlight w:val="none"/>
                <w:lang w:val="en-US" w:eastAsia="zh-CN"/>
              </w:rPr>
            </w:pPr>
            <w:r>
              <w:rPr>
                <w:rFonts w:hint="eastAsia" w:ascii="宋体" w:hAnsi="宋体" w:cs="宋体"/>
                <w:color w:val="auto"/>
                <w:w w:val="90"/>
                <w:sz w:val="24"/>
                <w:szCs w:val="24"/>
                <w:highlight w:val="none"/>
                <w:lang w:val="en-US" w:eastAsia="zh-CN"/>
              </w:rPr>
              <w:t>0-5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062"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color w:val="auto"/>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color w:val="auto"/>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机构设立地点</w:t>
            </w:r>
            <w:r>
              <w:rPr>
                <w:rFonts w:hint="eastAsia" w:ascii="宋体" w:hAnsi="宋体" w:cs="宋体"/>
                <w:color w:val="auto"/>
                <w:kern w:val="0"/>
                <w:sz w:val="24"/>
                <w:szCs w:val="24"/>
                <w:highlight w:val="none"/>
                <w:lang w:eastAsia="zh-CN"/>
              </w:rPr>
              <w:t>：根据投标供应商售后服务机构设立情况，由评委进行打分。</w:t>
            </w:r>
            <w:r>
              <w:rPr>
                <w:rFonts w:hint="eastAsia" w:ascii="宋体" w:hAnsi="宋体" w:cs="宋体"/>
                <w:color w:val="auto"/>
                <w:kern w:val="0"/>
                <w:sz w:val="24"/>
                <w:szCs w:val="24"/>
                <w:highlight w:val="none"/>
              </w:rPr>
              <w:t>其中：完全合理得</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rPr>
              <w:t>分；基本</w:t>
            </w:r>
            <w:r>
              <w:rPr>
                <w:rFonts w:hint="eastAsia" w:ascii="宋体" w:hAnsi="宋体" w:cs="宋体"/>
                <w:color w:val="auto"/>
                <w:kern w:val="0"/>
                <w:sz w:val="24"/>
                <w:szCs w:val="24"/>
                <w:highlight w:val="none"/>
                <w:lang w:eastAsia="zh-CN"/>
              </w:rPr>
              <w:t>合理</w:t>
            </w:r>
            <w:r>
              <w:rPr>
                <w:rFonts w:hint="eastAsia" w:ascii="宋体" w:hAnsi="宋体" w:cs="宋体"/>
                <w:color w:val="auto"/>
                <w:kern w:val="0"/>
                <w:sz w:val="24"/>
                <w:szCs w:val="24"/>
                <w:highlight w:val="none"/>
              </w:rPr>
              <w:t>得</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分；部分</w:t>
            </w:r>
            <w:r>
              <w:rPr>
                <w:rFonts w:hint="eastAsia" w:ascii="宋体" w:hAnsi="宋体" w:cs="宋体"/>
                <w:color w:val="auto"/>
                <w:kern w:val="0"/>
                <w:sz w:val="24"/>
                <w:szCs w:val="24"/>
                <w:highlight w:val="none"/>
                <w:lang w:eastAsia="zh-CN"/>
              </w:rPr>
              <w:t>合理</w:t>
            </w:r>
            <w:r>
              <w:rPr>
                <w:rFonts w:hint="eastAsia" w:ascii="宋体" w:hAnsi="宋体" w:cs="宋体"/>
                <w:color w:val="auto"/>
                <w:kern w:val="0"/>
                <w:sz w:val="24"/>
                <w:szCs w:val="24"/>
                <w:highlight w:val="none"/>
              </w:rPr>
              <w:t>得0-1分。</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w w:val="90"/>
                <w:sz w:val="24"/>
                <w:szCs w:val="24"/>
                <w:highlight w:val="none"/>
                <w:lang w:val="en-US" w:eastAsia="zh-CN"/>
              </w:rPr>
              <w:t>0-</w:t>
            </w:r>
            <w:r>
              <w:rPr>
                <w:rFonts w:hint="eastAsia" w:ascii="宋体" w:hAnsi="宋体" w:cs="宋体"/>
                <w:color w:val="auto"/>
                <w:kern w:val="0"/>
                <w:sz w:val="24"/>
                <w:szCs w:val="24"/>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p>
        </w:tc>
        <w:tc>
          <w:tcPr>
            <w:tcW w:w="7881" w:type="dxa"/>
            <w:noWrap w:val="0"/>
            <w:vAlign w:val="center"/>
          </w:tcPr>
          <w:p>
            <w:pPr>
              <w:pStyle w:val="3"/>
              <w:rPr>
                <w:rFonts w:hint="eastAsia" w:eastAsia="宋体"/>
                <w:color w:val="auto"/>
                <w:highlight w:val="none"/>
                <w:lang w:val="en-US" w:eastAsia="zh-CN"/>
              </w:rPr>
            </w:pPr>
            <w:r>
              <w:rPr>
                <w:rFonts w:hint="eastAsia"/>
                <w:color w:val="auto"/>
                <w:sz w:val="24"/>
                <w:szCs w:val="24"/>
                <w:highlight w:val="none"/>
                <w:lang w:eastAsia="zh-CN"/>
              </w:rPr>
              <w:t>根据投标供应商存放于采购人指定地点的</w:t>
            </w:r>
            <w:r>
              <w:rPr>
                <w:rFonts w:hint="eastAsia"/>
                <w:color w:val="auto"/>
                <w:sz w:val="24"/>
                <w:szCs w:val="24"/>
                <w:highlight w:val="none"/>
              </w:rPr>
              <w:t>8年质保备件清单</w:t>
            </w:r>
            <w:r>
              <w:rPr>
                <w:rFonts w:hint="eastAsia"/>
                <w:color w:val="auto"/>
                <w:sz w:val="24"/>
                <w:szCs w:val="24"/>
                <w:highlight w:val="none"/>
                <w:lang w:val="en-US" w:eastAsia="zh-CN"/>
              </w:rPr>
              <w:t>及相关优惠条件</w:t>
            </w:r>
            <w:r>
              <w:rPr>
                <w:rFonts w:hint="eastAsia"/>
                <w:color w:val="auto"/>
                <w:sz w:val="24"/>
                <w:szCs w:val="24"/>
                <w:highlight w:val="none"/>
                <w:lang w:eastAsia="zh-CN"/>
              </w:rPr>
              <w:t>，</w:t>
            </w:r>
            <w:r>
              <w:rPr>
                <w:rFonts w:hint="eastAsia" w:ascii="宋体" w:hAnsi="宋体" w:cs="宋体"/>
                <w:color w:val="auto"/>
                <w:kern w:val="0"/>
                <w:sz w:val="24"/>
                <w:szCs w:val="24"/>
                <w:highlight w:val="none"/>
                <w:lang w:eastAsia="zh-CN"/>
              </w:rPr>
              <w:t>由评委进行打分。</w:t>
            </w:r>
            <w:r>
              <w:rPr>
                <w:rFonts w:hint="eastAsia"/>
                <w:color w:val="auto"/>
                <w:sz w:val="24"/>
                <w:szCs w:val="24"/>
                <w:highlight w:val="none"/>
              </w:rPr>
              <w:t>其中：</w:t>
            </w:r>
            <w:r>
              <w:rPr>
                <w:rFonts w:hint="eastAsia" w:ascii="宋体" w:hAnsi="宋体" w:cs="宋体"/>
                <w:color w:val="auto"/>
                <w:kern w:val="0"/>
                <w:sz w:val="24"/>
                <w:szCs w:val="24"/>
                <w:highlight w:val="none"/>
              </w:rPr>
              <w:t>完全合理得</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rPr>
              <w:t>分；基本</w:t>
            </w:r>
            <w:r>
              <w:rPr>
                <w:rFonts w:hint="eastAsia" w:ascii="宋体" w:hAnsi="宋体" w:cs="宋体"/>
                <w:color w:val="auto"/>
                <w:kern w:val="0"/>
                <w:sz w:val="24"/>
                <w:szCs w:val="24"/>
                <w:highlight w:val="none"/>
                <w:lang w:eastAsia="zh-CN"/>
              </w:rPr>
              <w:t>合理</w:t>
            </w:r>
            <w:r>
              <w:rPr>
                <w:rFonts w:hint="eastAsia" w:ascii="宋体" w:hAnsi="宋体" w:cs="宋体"/>
                <w:color w:val="auto"/>
                <w:kern w:val="0"/>
                <w:sz w:val="24"/>
                <w:szCs w:val="24"/>
                <w:highlight w:val="none"/>
              </w:rPr>
              <w:t>得</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分；部分</w:t>
            </w:r>
            <w:r>
              <w:rPr>
                <w:rFonts w:hint="eastAsia" w:ascii="宋体" w:hAnsi="宋体" w:cs="宋体"/>
                <w:color w:val="auto"/>
                <w:kern w:val="0"/>
                <w:sz w:val="24"/>
                <w:szCs w:val="24"/>
                <w:highlight w:val="none"/>
                <w:lang w:eastAsia="zh-CN"/>
              </w:rPr>
              <w:t>合理</w:t>
            </w:r>
            <w:r>
              <w:rPr>
                <w:rFonts w:hint="eastAsia" w:ascii="宋体" w:hAnsi="宋体" w:cs="宋体"/>
                <w:color w:val="auto"/>
                <w:kern w:val="0"/>
                <w:sz w:val="24"/>
                <w:szCs w:val="24"/>
                <w:highlight w:val="none"/>
              </w:rPr>
              <w:t>得0</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lang w:eastAsia="zh-CN"/>
              </w:rPr>
              <w:t>。</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sz w:val="24"/>
                <w:szCs w:val="24"/>
                <w:highlight w:val="none"/>
                <w:lang w:val="en-US" w:eastAsia="zh-CN"/>
              </w:rPr>
            </w:pPr>
            <w:r>
              <w:rPr>
                <w:rFonts w:hint="eastAsia" w:ascii="宋体" w:hAnsi="宋体" w:cs="宋体"/>
                <w:color w:val="auto"/>
                <w:w w:val="90"/>
                <w:sz w:val="24"/>
                <w:szCs w:val="24"/>
                <w:highlight w:val="none"/>
                <w:lang w:val="en-US" w:eastAsia="zh-CN"/>
              </w:rPr>
              <w:t>0-3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405"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color w:val="auto"/>
                <w:sz w:val="24"/>
                <w:szCs w:val="24"/>
                <w:highlight w:val="none"/>
              </w:rPr>
              <w:t>采购单位指派多名维修人员到中标厂家进行技术培训，培训内容：车辆的组成结构，车辆的使用原理，操作注意事项，故障排除，维护与检修。</w:t>
            </w:r>
          </w:p>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color w:val="auto"/>
                <w:sz w:val="24"/>
                <w:szCs w:val="24"/>
                <w:highlight w:val="none"/>
              </w:rPr>
              <w:t>培训计划：所投车辆上线组装调试期间，厂家合理安排培训课时，对委陪人员进行理论知识及上生产线实际操作培训。由评委进行打分；其中：完全合理得1.3-2分；基本</w:t>
            </w:r>
            <w:r>
              <w:rPr>
                <w:rFonts w:hint="eastAsia"/>
                <w:color w:val="auto"/>
                <w:sz w:val="24"/>
                <w:szCs w:val="24"/>
                <w:highlight w:val="none"/>
                <w:lang w:eastAsia="zh-CN"/>
              </w:rPr>
              <w:t>合理</w:t>
            </w:r>
            <w:r>
              <w:rPr>
                <w:rFonts w:hint="eastAsia"/>
                <w:color w:val="auto"/>
                <w:sz w:val="24"/>
                <w:szCs w:val="24"/>
                <w:highlight w:val="none"/>
              </w:rPr>
              <w:t>得0.7-1.3分；部分</w:t>
            </w:r>
            <w:r>
              <w:rPr>
                <w:rFonts w:hint="eastAsia"/>
                <w:color w:val="auto"/>
                <w:sz w:val="24"/>
                <w:szCs w:val="24"/>
                <w:highlight w:val="none"/>
                <w:lang w:eastAsia="zh-CN"/>
              </w:rPr>
              <w:t>合理</w:t>
            </w:r>
            <w:r>
              <w:rPr>
                <w:rFonts w:hint="eastAsia"/>
                <w:color w:val="auto"/>
                <w:sz w:val="24"/>
                <w:szCs w:val="24"/>
                <w:highlight w:val="none"/>
              </w:rPr>
              <w:t>得0-0.7分。</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lang w:val="en-US" w:eastAsia="zh-CN"/>
              </w:rPr>
              <w:t>0-</w:t>
            </w:r>
            <w:r>
              <w:rPr>
                <w:rFonts w:hint="eastAsia" w:ascii="宋体" w:hAnsi="宋体" w:cs="宋体"/>
                <w:color w:val="auto"/>
                <w:w w:val="90"/>
                <w:sz w:val="24"/>
                <w:szCs w:val="24"/>
                <w:highlight w:val="none"/>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497"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ascii="宋体" w:hAnsi="宋体" w:cs="宋体"/>
                <w:color w:val="auto"/>
                <w:kern w:val="0"/>
                <w:sz w:val="24"/>
                <w:szCs w:val="24"/>
                <w:highlight w:val="none"/>
                <w:lang w:eastAsia="zh-CN"/>
              </w:rPr>
              <w:t>根据投标供应商整车质保时间（整车质保时间承诺书必需包含整车（</w:t>
            </w:r>
            <w:r>
              <w:rPr>
                <w:rFonts w:hint="eastAsia" w:ascii="宋体" w:hAnsi="宋体" w:cs="宋体"/>
                <w:color w:val="auto"/>
                <w:kern w:val="0"/>
                <w:sz w:val="24"/>
                <w:szCs w:val="24"/>
                <w:highlight w:val="none"/>
                <w:lang w:val="en-US" w:eastAsia="zh-CN"/>
              </w:rPr>
              <w:t>除必须质保八年部件清单外</w:t>
            </w:r>
            <w:r>
              <w:rPr>
                <w:rFonts w:hint="eastAsia" w:ascii="宋体" w:hAnsi="宋体" w:cs="宋体"/>
                <w:color w:val="auto"/>
                <w:kern w:val="0"/>
                <w:sz w:val="24"/>
                <w:szCs w:val="24"/>
                <w:highlight w:val="none"/>
                <w:lang w:eastAsia="zh-CN"/>
              </w:rPr>
              <w:t>）所含具体零部件质保时间不低于整车</w:t>
            </w:r>
            <w:r>
              <w:rPr>
                <w:rFonts w:hint="eastAsia" w:ascii="宋体" w:hAnsi="宋体" w:cs="宋体"/>
                <w:color w:val="auto"/>
                <w:kern w:val="0"/>
                <w:sz w:val="24"/>
                <w:szCs w:val="24"/>
                <w:highlight w:val="none"/>
                <w:lang w:val="en-US" w:eastAsia="zh-CN"/>
              </w:rPr>
              <w:t>质保时间两年（易耗件除外）</w:t>
            </w:r>
            <w:r>
              <w:rPr>
                <w:rFonts w:hint="eastAsia" w:ascii="宋体" w:hAnsi="宋体" w:cs="宋体"/>
                <w:color w:val="auto"/>
                <w:kern w:val="0"/>
                <w:sz w:val="24"/>
                <w:szCs w:val="24"/>
                <w:highlight w:val="none"/>
                <w:lang w:eastAsia="zh-CN"/>
              </w:rPr>
              <w:t>，由评委进行打分。其中：</w:t>
            </w:r>
            <w:r>
              <w:rPr>
                <w:rFonts w:hint="eastAsia" w:ascii="宋体" w:hAnsi="宋体" w:cs="宋体"/>
                <w:color w:val="auto"/>
                <w:kern w:val="0"/>
                <w:sz w:val="24"/>
                <w:szCs w:val="24"/>
                <w:highlight w:val="none"/>
                <w:lang w:val="en-US" w:eastAsia="zh-CN"/>
              </w:rPr>
              <w:t>整车质保时间延长一年的并结合易耗件覆盖情况得0-1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整车质保时间延长两年的并结合易耗件覆盖情况得0-2</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整车质保时间延长三年的并结合易耗件覆盖情况得0-3</w:t>
            </w:r>
            <w:r>
              <w:rPr>
                <w:rFonts w:hint="eastAsia" w:ascii="宋体" w:hAnsi="宋体" w:cs="宋体"/>
                <w:color w:val="auto"/>
                <w:kern w:val="0"/>
                <w:sz w:val="24"/>
                <w:szCs w:val="24"/>
                <w:highlight w:val="none"/>
                <w:lang w:eastAsia="zh-CN"/>
              </w:rPr>
              <w:t>；</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sz w:val="24"/>
                <w:szCs w:val="24"/>
                <w:highlight w:val="none"/>
                <w:lang w:val="en-US" w:eastAsia="zh-CN"/>
              </w:rPr>
            </w:pPr>
            <w:r>
              <w:rPr>
                <w:rFonts w:hint="eastAsia" w:ascii="宋体" w:hAnsi="宋体" w:cs="宋体"/>
                <w:color w:val="auto"/>
                <w:w w:val="90"/>
                <w:sz w:val="24"/>
                <w:szCs w:val="24"/>
                <w:highlight w:val="none"/>
                <w:lang w:val="en-US" w:eastAsia="zh-CN"/>
              </w:rPr>
              <w:t>0-3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10149" w:type="dxa"/>
            <w:gridSpan w:val="3"/>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w w:val="90"/>
                <w:sz w:val="24"/>
                <w:szCs w:val="24"/>
                <w:highlight w:val="none"/>
              </w:rPr>
            </w:pPr>
            <w:r>
              <w:rPr>
                <w:rFonts w:hint="eastAsia" w:ascii="宋体" w:hAnsi="宋体" w:cs="宋体"/>
                <w:b/>
                <w:color w:val="auto"/>
                <w:w w:val="90"/>
                <w:sz w:val="24"/>
                <w:szCs w:val="24"/>
                <w:highlight w:val="none"/>
              </w:rPr>
              <w:t>合计</w:t>
            </w:r>
          </w:p>
        </w:tc>
        <w:tc>
          <w:tcPr>
            <w:tcW w:w="82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w w:val="90"/>
                <w:sz w:val="24"/>
                <w:szCs w:val="24"/>
                <w:highlight w:val="none"/>
              </w:rPr>
            </w:pPr>
            <w:r>
              <w:rPr>
                <w:rFonts w:hint="eastAsia" w:ascii="宋体" w:hAnsi="宋体" w:cs="宋体"/>
                <w:b/>
                <w:color w:val="auto"/>
                <w:w w:val="90"/>
                <w:sz w:val="24"/>
                <w:szCs w:val="24"/>
                <w:highlight w:val="none"/>
              </w:rPr>
              <w:t>0-</w:t>
            </w:r>
            <w:r>
              <w:rPr>
                <w:rFonts w:hint="eastAsia" w:ascii="宋体" w:hAnsi="宋体" w:cs="宋体"/>
                <w:b/>
                <w:color w:val="auto"/>
                <w:w w:val="90"/>
                <w:sz w:val="24"/>
                <w:szCs w:val="24"/>
                <w:highlight w:val="none"/>
                <w:lang w:val="en-US" w:eastAsia="zh-CN"/>
              </w:rPr>
              <w:t>7</w:t>
            </w:r>
            <w:r>
              <w:rPr>
                <w:rFonts w:hint="eastAsia" w:ascii="宋体" w:hAnsi="宋体" w:cs="宋体"/>
                <w:b/>
                <w:color w:val="auto"/>
                <w:w w:val="90"/>
                <w:sz w:val="24"/>
                <w:szCs w:val="24"/>
                <w:highlight w:val="none"/>
              </w:rPr>
              <w:t>0</w:t>
            </w:r>
          </w:p>
        </w:tc>
      </w:tr>
    </w:tbl>
    <w:p>
      <w:pPr>
        <w:pStyle w:val="24"/>
        <w:adjustRightInd w:val="0"/>
        <w:snapToGrid w:val="0"/>
        <w:spacing w:line="400" w:lineRule="exact"/>
        <w:rPr>
          <w:rFonts w:hint="eastAsia" w:hAnsi="宋体" w:cs="宋体"/>
          <w:b/>
          <w:color w:val="auto"/>
          <w:szCs w:val="22"/>
          <w:highlight w:val="none"/>
          <w:lang w:val="en-US" w:eastAsia="zh-CN"/>
        </w:rPr>
      </w:pPr>
      <w:r>
        <w:rPr>
          <w:rFonts w:hint="eastAsia" w:hAnsi="宋体" w:cs="宋体"/>
          <w:b/>
          <w:color w:val="auto"/>
          <w:szCs w:val="22"/>
          <w:highlight w:val="none"/>
          <w:lang w:val="en-US" w:eastAsia="zh-CN"/>
        </w:rPr>
        <w:t>标项三：</w:t>
      </w:r>
    </w:p>
    <w:p>
      <w:pPr>
        <w:pStyle w:val="24"/>
        <w:adjustRightInd w:val="0"/>
        <w:snapToGrid w:val="0"/>
        <w:spacing w:line="400" w:lineRule="exact"/>
        <w:rPr>
          <w:rFonts w:hint="eastAsia" w:hAnsi="宋体" w:cs="宋体"/>
          <w:b/>
          <w:color w:val="auto"/>
          <w:szCs w:val="22"/>
          <w:highlight w:val="none"/>
          <w:lang w:val="en-US" w:eastAsia="zh-CN"/>
        </w:rPr>
      </w:pPr>
    </w:p>
    <w:tbl>
      <w:tblPr>
        <w:tblStyle w:val="42"/>
        <w:tblW w:w="10924" w:type="dxa"/>
        <w:tblInd w:w="-459"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560"/>
        <w:gridCol w:w="7881"/>
        <w:gridCol w:w="775"/>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8" w:type="dxa"/>
            <w:noWrap w:val="0"/>
            <w:vAlign w:val="center"/>
          </w:tcPr>
          <w:p>
            <w:pPr>
              <w:spacing w:line="276" w:lineRule="auto"/>
              <w:jc w:val="center"/>
              <w:rPr>
                <w:rFonts w:hint="eastAsia" w:ascii="宋体" w:hAnsi="宋体" w:cs="宋体"/>
                <w:b/>
                <w:color w:val="auto"/>
                <w:w w:val="90"/>
                <w:sz w:val="24"/>
                <w:highlight w:val="none"/>
              </w:rPr>
            </w:pPr>
            <w:r>
              <w:rPr>
                <w:rFonts w:hint="eastAsia" w:ascii="宋体" w:hAnsi="宋体" w:cs="宋体"/>
                <w:b/>
                <w:color w:val="auto"/>
                <w:w w:val="90"/>
                <w:sz w:val="24"/>
                <w:highlight w:val="none"/>
              </w:rPr>
              <w:t>序号</w:t>
            </w:r>
          </w:p>
        </w:tc>
        <w:tc>
          <w:tcPr>
            <w:tcW w:w="1560" w:type="dxa"/>
            <w:noWrap w:val="0"/>
            <w:vAlign w:val="center"/>
          </w:tcPr>
          <w:p>
            <w:pPr>
              <w:spacing w:line="276" w:lineRule="auto"/>
              <w:jc w:val="center"/>
              <w:rPr>
                <w:rFonts w:hint="eastAsia" w:ascii="宋体" w:hAnsi="宋体" w:cs="宋体"/>
                <w:b/>
                <w:color w:val="auto"/>
                <w:w w:val="90"/>
                <w:sz w:val="24"/>
                <w:highlight w:val="none"/>
              </w:rPr>
            </w:pPr>
            <w:r>
              <w:rPr>
                <w:rFonts w:hint="eastAsia" w:ascii="宋体" w:hAnsi="宋体" w:cs="宋体"/>
                <w:b/>
                <w:color w:val="auto"/>
                <w:w w:val="90"/>
                <w:sz w:val="24"/>
                <w:highlight w:val="none"/>
              </w:rPr>
              <w:t>评审内容</w:t>
            </w:r>
          </w:p>
        </w:tc>
        <w:tc>
          <w:tcPr>
            <w:tcW w:w="7881" w:type="dxa"/>
            <w:noWrap w:val="0"/>
            <w:vAlign w:val="center"/>
          </w:tcPr>
          <w:p>
            <w:pPr>
              <w:spacing w:line="276" w:lineRule="auto"/>
              <w:jc w:val="center"/>
              <w:rPr>
                <w:rFonts w:hint="eastAsia" w:ascii="宋体" w:hAnsi="宋体" w:cs="宋体"/>
                <w:b/>
                <w:color w:val="auto"/>
                <w:w w:val="90"/>
                <w:sz w:val="24"/>
                <w:highlight w:val="none"/>
              </w:rPr>
            </w:pPr>
            <w:r>
              <w:rPr>
                <w:rFonts w:hint="eastAsia" w:ascii="宋体" w:hAnsi="宋体" w:cs="宋体"/>
                <w:b/>
                <w:color w:val="auto"/>
                <w:w w:val="90"/>
                <w:sz w:val="24"/>
                <w:highlight w:val="none"/>
              </w:rPr>
              <w:t>评审细则</w:t>
            </w:r>
          </w:p>
        </w:tc>
        <w:tc>
          <w:tcPr>
            <w:tcW w:w="775" w:type="dxa"/>
            <w:noWrap w:val="0"/>
            <w:vAlign w:val="center"/>
          </w:tcPr>
          <w:p>
            <w:pPr>
              <w:spacing w:line="276" w:lineRule="auto"/>
              <w:jc w:val="center"/>
              <w:rPr>
                <w:rFonts w:hint="eastAsia" w:ascii="宋体" w:hAnsi="宋体" w:cs="宋体"/>
                <w:b/>
                <w:color w:val="auto"/>
                <w:w w:val="90"/>
                <w:sz w:val="24"/>
                <w:highlight w:val="none"/>
              </w:rPr>
            </w:pPr>
            <w:r>
              <w:rPr>
                <w:rFonts w:hint="eastAsia" w:ascii="宋体" w:hAnsi="宋体" w:cs="宋体"/>
                <w:b/>
                <w:color w:val="auto"/>
                <w:w w:val="90"/>
                <w:sz w:val="24"/>
                <w:highlight w:val="none"/>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708" w:type="dxa"/>
            <w:vMerge w:val="restart"/>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1</w:t>
            </w:r>
          </w:p>
        </w:tc>
        <w:tc>
          <w:tcPr>
            <w:tcW w:w="1560" w:type="dxa"/>
            <w:vMerge w:val="restart"/>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color w:val="auto"/>
                <w:sz w:val="24"/>
                <w:szCs w:val="24"/>
                <w:highlight w:val="none"/>
              </w:rPr>
              <w:t>资信及业绩</w:t>
            </w:r>
          </w:p>
        </w:tc>
        <w:tc>
          <w:tcPr>
            <w:tcW w:w="7881" w:type="dxa"/>
            <w:noWrap w:val="0"/>
            <w:vAlign w:val="center"/>
          </w:tcPr>
          <w:p>
            <w:pPr>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highlight w:val="none"/>
                <w:lang w:eastAsia="zh-CN"/>
              </w:rPr>
            </w:pPr>
            <w:r>
              <w:rPr>
                <w:rFonts w:hint="eastAsia" w:ascii="宋体" w:hAnsi="宋体" w:eastAsia="宋体" w:cs="宋体"/>
                <w:color w:val="auto"/>
                <w:sz w:val="24"/>
                <w:szCs w:val="24"/>
                <w:highlight w:val="none"/>
              </w:rPr>
              <w:sym w:font="Wingdings" w:char="F081"/>
            </w:r>
            <w:r>
              <w:rPr>
                <w:rFonts w:hint="eastAsia" w:ascii="宋体" w:hAnsi="宋体" w:eastAsia="宋体" w:cs="宋体"/>
                <w:color w:val="auto"/>
                <w:sz w:val="24"/>
                <w:szCs w:val="24"/>
                <w:highlight w:val="none"/>
              </w:rPr>
              <w:t>投标产品制造商</w:t>
            </w:r>
            <w:r>
              <w:rPr>
                <w:rFonts w:hint="eastAsia" w:ascii="宋体" w:hAnsi="宋体" w:cs="宋体"/>
                <w:color w:val="auto"/>
                <w:sz w:val="24"/>
                <w:szCs w:val="24"/>
                <w:highlight w:val="none"/>
                <w:lang w:val="en-US" w:eastAsia="zh-CN"/>
              </w:rPr>
              <w:t>有效的</w:t>
            </w:r>
            <w:r>
              <w:rPr>
                <w:rFonts w:hint="eastAsia"/>
                <w:highlight w:val="none"/>
                <w:lang w:eastAsia="zh-CN"/>
              </w:rPr>
              <w:t>质量管理体系认证证书；</w:t>
            </w:r>
            <w:r>
              <w:rPr>
                <w:rFonts w:hint="eastAsia" w:ascii="宋体" w:hAnsi="宋体" w:eastAsia="宋体" w:cs="宋体"/>
                <w:color w:val="auto"/>
                <w:sz w:val="24"/>
                <w:szCs w:val="24"/>
                <w:highlight w:val="none"/>
              </w:rPr>
              <w:t>②投标产品制造商</w:t>
            </w:r>
            <w:r>
              <w:rPr>
                <w:rFonts w:hint="eastAsia" w:ascii="宋体" w:hAnsi="宋体" w:cs="宋体"/>
                <w:color w:val="auto"/>
                <w:sz w:val="24"/>
                <w:szCs w:val="24"/>
                <w:highlight w:val="none"/>
                <w:lang w:val="en-US" w:eastAsia="zh-CN"/>
              </w:rPr>
              <w:t>有效的</w:t>
            </w:r>
            <w:r>
              <w:rPr>
                <w:rFonts w:hint="eastAsia"/>
                <w:highlight w:val="none"/>
                <w:lang w:eastAsia="zh-CN"/>
              </w:rPr>
              <w:t>环境管理体系认证证书每提供一项得</w:t>
            </w:r>
            <w:r>
              <w:rPr>
                <w:rFonts w:hint="eastAsia"/>
                <w:highlight w:val="none"/>
                <w:lang w:val="en-US" w:eastAsia="zh-CN"/>
              </w:rPr>
              <w:t>1</w:t>
            </w:r>
            <w:r>
              <w:rPr>
                <w:rFonts w:hint="eastAsia"/>
                <w:highlight w:val="none"/>
                <w:lang w:eastAsia="zh-CN"/>
              </w:rPr>
              <w:t>分，获得证书并在有效期内的，最高2分。</w:t>
            </w:r>
          </w:p>
          <w:p>
            <w:pPr>
              <w:keepLines w:val="0"/>
              <w:pageBreakBefore w:val="0"/>
              <w:widowControl w:val="0"/>
              <w:kinsoku/>
              <w:wordWrap/>
              <w:overflowPunct/>
              <w:topLinePunct w:val="0"/>
              <w:autoSpaceDE/>
              <w:autoSpaceDN/>
              <w:bidi w:val="0"/>
              <w:adjustRightInd/>
              <w:snapToGrid/>
              <w:spacing w:line="440" w:lineRule="exact"/>
              <w:jc w:val="left"/>
              <w:textAlignment w:val="auto"/>
              <w:rPr>
                <w:rFonts w:hint="default"/>
                <w:highlight w:val="none"/>
                <w:lang w:val="en-US" w:eastAsia="zh-CN"/>
              </w:rPr>
            </w:pPr>
            <w:r>
              <w:rPr>
                <w:rFonts w:hint="eastAsia"/>
                <w:highlight w:val="none"/>
                <w:lang w:eastAsia="zh-CN"/>
              </w:rPr>
              <w:t>（复印件加盖公章放入投标文件中，不提供不得分）。</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lang w:val="en-US" w:eastAsia="zh-CN"/>
              </w:rPr>
              <w:t>0-</w:t>
            </w:r>
            <w:r>
              <w:rPr>
                <w:rFonts w:hint="eastAsia" w:ascii="宋体" w:hAnsi="宋体" w:cs="宋体"/>
                <w:color w:val="auto"/>
                <w:w w:val="90"/>
                <w:sz w:val="24"/>
                <w:szCs w:val="24"/>
                <w:highlight w:val="none"/>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pStyle w:val="1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投标供应商或投标产品制造商自2018年1月1日（以合同签订时间为准）以来纯电公交车销售业绩业绩的，每个得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分，最多得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pPr>
              <w:pStyle w:val="16"/>
              <w:rPr>
                <w:rFonts w:hint="eastAsia"/>
                <w:highlight w:val="none"/>
                <w:lang w:eastAsia="zh-CN"/>
              </w:rPr>
            </w:pPr>
            <w:r>
              <w:rPr>
                <w:rFonts w:hint="eastAsia" w:ascii="宋体" w:hAnsi="宋体" w:eastAsia="宋体" w:cs="宋体"/>
                <w:color w:val="auto"/>
                <w:sz w:val="24"/>
                <w:szCs w:val="24"/>
                <w:highlight w:val="none"/>
                <w:lang w:eastAsia="zh-CN"/>
              </w:rPr>
              <w:t>注：</w:t>
            </w:r>
            <w:r>
              <w:rPr>
                <w:rFonts w:hint="eastAsia" w:ascii="宋体" w:hAnsi="宋体" w:cs="宋体"/>
                <w:color w:val="auto"/>
                <w:sz w:val="24"/>
                <w:szCs w:val="24"/>
                <w:highlight w:val="none"/>
                <w:lang w:val="en-US" w:eastAsia="zh-CN"/>
              </w:rPr>
              <w:t>需</w:t>
            </w:r>
            <w:r>
              <w:rPr>
                <w:rFonts w:hint="eastAsia" w:ascii="宋体" w:hAnsi="宋体" w:eastAsia="宋体" w:cs="宋体"/>
                <w:color w:val="auto"/>
                <w:sz w:val="24"/>
                <w:szCs w:val="24"/>
                <w:highlight w:val="none"/>
                <w:lang w:eastAsia="zh-CN"/>
              </w:rPr>
              <w:t>提供合同原件核查，</w:t>
            </w:r>
            <w:r>
              <w:rPr>
                <w:rFonts w:hint="eastAsia" w:ascii="宋体" w:hAnsi="宋体" w:cs="宋体"/>
                <w:color w:val="auto"/>
                <w:sz w:val="24"/>
                <w:szCs w:val="24"/>
                <w:highlight w:val="none"/>
                <w:lang w:val="en-US" w:eastAsia="zh-CN"/>
              </w:rPr>
              <w:t>不提供</w:t>
            </w:r>
            <w:r>
              <w:rPr>
                <w:rFonts w:hint="eastAsia" w:ascii="宋体" w:hAnsi="宋体" w:eastAsia="宋体" w:cs="宋体"/>
                <w:color w:val="auto"/>
                <w:sz w:val="24"/>
                <w:szCs w:val="24"/>
                <w:highlight w:val="none"/>
                <w:lang w:eastAsia="zh-CN"/>
              </w:rPr>
              <w:t>不得分。</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sz w:val="24"/>
                <w:szCs w:val="24"/>
                <w:highlight w:val="none"/>
                <w:lang w:eastAsia="zh-CN"/>
              </w:rPr>
            </w:pPr>
            <w:r>
              <w:rPr>
                <w:rFonts w:hint="eastAsia" w:ascii="宋体" w:hAnsi="宋体" w:cs="宋体"/>
                <w:color w:val="auto"/>
                <w:w w:val="90"/>
                <w:sz w:val="24"/>
                <w:szCs w:val="24"/>
                <w:highlight w:val="none"/>
                <w:lang w:val="en-US" w:eastAsia="zh-CN"/>
              </w:rPr>
              <w:t>0-3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default"/>
                <w:color w:val="auto"/>
                <w:sz w:val="24"/>
                <w:szCs w:val="24"/>
                <w:highlight w:val="none"/>
                <w:lang w:val="en-US" w:eastAsia="zh-CN"/>
              </w:rPr>
            </w:pPr>
            <w:r>
              <w:rPr>
                <w:rFonts w:hint="eastAsia"/>
                <w:strike w:val="0"/>
                <w:dstrike w:val="0"/>
                <w:color w:val="auto"/>
                <w:sz w:val="24"/>
                <w:szCs w:val="24"/>
                <w:highlight w:val="none"/>
                <w:shd w:val="clear" w:color="auto" w:fill="auto"/>
                <w:lang w:eastAsia="zh-CN"/>
              </w:rPr>
              <w:t>根据投标人已销售的车辆用户反馈情况</w:t>
            </w:r>
            <w:r>
              <w:rPr>
                <w:rFonts w:hint="eastAsia"/>
                <w:strike w:val="0"/>
                <w:dstrike w:val="0"/>
                <w:color w:val="auto"/>
                <w:sz w:val="24"/>
                <w:szCs w:val="24"/>
                <w:highlight w:val="none"/>
                <w:shd w:val="clear" w:color="auto" w:fill="auto"/>
                <w:lang w:val="en-US" w:eastAsia="zh-CN"/>
              </w:rPr>
              <w:t>（</w:t>
            </w:r>
            <w:r>
              <w:rPr>
                <w:rFonts w:hint="eastAsia"/>
                <w:strike w:val="0"/>
                <w:dstrike w:val="0"/>
                <w:color w:val="auto"/>
                <w:sz w:val="24"/>
                <w:szCs w:val="24"/>
                <w:highlight w:val="none"/>
                <w:shd w:val="clear" w:color="auto" w:fill="auto"/>
                <w:lang w:eastAsia="zh-CN"/>
              </w:rPr>
              <w:t>提供用户反馈证明复印件加盖公章</w:t>
            </w:r>
            <w:r>
              <w:rPr>
                <w:rFonts w:hint="eastAsia"/>
                <w:strike w:val="0"/>
                <w:dstrike w:val="0"/>
                <w:color w:val="auto"/>
                <w:sz w:val="24"/>
                <w:szCs w:val="24"/>
                <w:highlight w:val="none"/>
                <w:shd w:val="clear" w:color="auto" w:fill="auto"/>
                <w:lang w:val="en-US" w:eastAsia="zh-CN"/>
              </w:rPr>
              <w:t>）</w:t>
            </w:r>
            <w:r>
              <w:rPr>
                <w:rFonts w:hint="eastAsia"/>
                <w:strike w:val="0"/>
                <w:dstrike w:val="0"/>
                <w:color w:val="auto"/>
                <w:sz w:val="24"/>
                <w:szCs w:val="24"/>
                <w:highlight w:val="none"/>
                <w:shd w:val="clear" w:color="auto" w:fill="auto"/>
                <w:lang w:eastAsia="zh-CN"/>
              </w:rPr>
              <w:t>、质量可靠性、运行稳定性等由评委进行打分，最高得</w:t>
            </w:r>
            <w:r>
              <w:rPr>
                <w:rFonts w:hint="eastAsia"/>
                <w:strike w:val="0"/>
                <w:dstrike w:val="0"/>
                <w:color w:val="auto"/>
                <w:sz w:val="24"/>
                <w:szCs w:val="24"/>
                <w:highlight w:val="none"/>
                <w:shd w:val="clear" w:color="auto" w:fill="auto"/>
                <w:lang w:val="en-US" w:eastAsia="zh-CN"/>
              </w:rPr>
              <w:t>2分。</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szCs w:val="24"/>
                <w:highlight w:val="none"/>
                <w:lang w:val="en-US" w:eastAsia="zh-CN"/>
              </w:rPr>
              <w:t>0-</w:t>
            </w:r>
            <w:r>
              <w:rPr>
                <w:rFonts w:hint="eastAsia" w:ascii="宋体" w:hAnsi="宋体" w:eastAsia="宋体" w:cs="宋体"/>
                <w:color w:val="auto"/>
                <w:w w:val="90"/>
                <w:sz w:val="24"/>
                <w:szCs w:val="24"/>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8"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2</w:t>
            </w:r>
          </w:p>
        </w:tc>
        <w:tc>
          <w:tcPr>
            <w:tcW w:w="1560"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color w:val="auto"/>
                <w:sz w:val="24"/>
                <w:szCs w:val="24"/>
                <w:highlight w:val="none"/>
              </w:rPr>
              <w:t>所投产品技术指标、性能等与采购需求的符合性</w:t>
            </w:r>
          </w:p>
        </w:tc>
        <w:tc>
          <w:tcPr>
            <w:tcW w:w="788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评审各投标供应商所投车辆的技术指标、性能等若有一项“★”不满足的，每项扣1分，其它项不满足的每项扣0.5分，扣完为止</w:t>
            </w:r>
            <w:r>
              <w:rPr>
                <w:rFonts w:hint="eastAsia" w:ascii="宋体" w:hAnsi="宋体" w:cs="宋体"/>
                <w:color w:val="auto"/>
                <w:sz w:val="24"/>
                <w:szCs w:val="24"/>
                <w:highlight w:val="none"/>
                <w:lang w:val="en-US" w:eastAsia="zh-CN"/>
              </w:rPr>
              <w:t>（0-12分）</w:t>
            </w:r>
            <w:r>
              <w:rPr>
                <w:rFonts w:hint="eastAsia" w:ascii="宋体" w:hAnsi="宋体" w:eastAsia="宋体" w:cs="宋体"/>
                <w:color w:val="auto"/>
                <w:sz w:val="24"/>
                <w:szCs w:val="24"/>
                <w:highlight w:val="none"/>
                <w:lang w:val="en-US" w:eastAsia="zh-CN"/>
              </w:rPr>
              <w:t>。</w:t>
            </w:r>
          </w:p>
          <w:p>
            <w:pPr>
              <w:pStyle w:val="2"/>
              <w:rPr>
                <w:rFonts w:hint="eastAsia" w:eastAsia="宋体"/>
                <w:highlight w:val="none"/>
                <w:lang w:eastAsia="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评审各投标供应商所投车辆的技术指标、性能等优于采购文件要求的每项加0.5分，最多得3分（正偏离加分由评审组商定）</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sz w:val="24"/>
                <w:szCs w:val="24"/>
                <w:highlight w:val="none"/>
                <w:lang w:val="en-US" w:eastAsia="zh-CN"/>
              </w:rPr>
            </w:pPr>
            <w:r>
              <w:rPr>
                <w:rFonts w:hint="eastAsia" w:ascii="宋体" w:hAnsi="宋体" w:cs="宋体"/>
                <w:color w:val="auto"/>
                <w:w w:val="90"/>
                <w:sz w:val="24"/>
                <w:szCs w:val="24"/>
                <w:highlight w:val="none"/>
                <w:lang w:val="en-US" w:eastAsia="zh-CN"/>
              </w:rPr>
              <w:t>0-</w:t>
            </w:r>
            <w:r>
              <w:rPr>
                <w:rFonts w:hint="eastAsia" w:ascii="宋体" w:hAnsi="宋体" w:cs="宋体"/>
                <w:color w:val="auto"/>
                <w:w w:val="90"/>
                <w:sz w:val="24"/>
                <w:szCs w:val="24"/>
                <w:highlight w:val="none"/>
              </w:rPr>
              <w:t>1</w:t>
            </w:r>
            <w:r>
              <w:rPr>
                <w:rFonts w:hint="eastAsia" w:ascii="宋体" w:hAnsi="宋体" w:cs="宋体"/>
                <w:color w:val="auto"/>
                <w:w w:val="90"/>
                <w:sz w:val="24"/>
                <w:szCs w:val="24"/>
                <w:highlight w:val="none"/>
                <w:lang w:val="en-US" w:eastAsia="zh-CN"/>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708" w:type="dxa"/>
            <w:vMerge w:val="restart"/>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3</w:t>
            </w:r>
          </w:p>
        </w:tc>
        <w:tc>
          <w:tcPr>
            <w:tcW w:w="1560" w:type="dxa"/>
            <w:vMerge w:val="restart"/>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所投产品的整体比较</w:t>
            </w: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ascii="宋体" w:hAnsi="宋体" w:eastAsia="宋体" w:cs="宋体"/>
                <w:color w:val="auto"/>
                <w:sz w:val="24"/>
                <w:szCs w:val="24"/>
                <w:highlight w:val="none"/>
              </w:rPr>
              <w:t>防腐设备：防腐设备和防腐性能：①投标供应商整车制造厂已投入整车阴极电泳设备得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分（以电泳设备采购合同</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采购发票复印件加盖公章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rPr>
              <w:t>不得分）。②整车（包括车身主要覆盖件、骨架、底盘车架、前、后尾金属保险杠）经阴极电泳得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分，其余不得分（投标供应商需提供承诺8年以上不腐蚀的</w:t>
            </w:r>
            <w:r>
              <w:rPr>
                <w:rFonts w:hint="eastAsia" w:ascii="宋体" w:hAnsi="宋体" w:eastAsia="宋体" w:cs="宋体"/>
                <w:color w:val="auto"/>
                <w:sz w:val="24"/>
                <w:szCs w:val="24"/>
                <w:highlight w:val="none"/>
                <w:lang w:val="en-US" w:eastAsia="zh-CN"/>
              </w:rPr>
              <w:t>证明材料</w:t>
            </w:r>
            <w:r>
              <w:rPr>
                <w:rFonts w:hint="eastAsia" w:ascii="宋体" w:hAnsi="宋体" w:eastAsia="宋体" w:cs="宋体"/>
                <w:color w:val="auto"/>
                <w:sz w:val="24"/>
                <w:szCs w:val="24"/>
                <w:highlight w:val="none"/>
              </w:rPr>
              <w:t>、工艺证明，否则不得分）</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w w:val="90"/>
                <w:sz w:val="24"/>
                <w:szCs w:val="24"/>
                <w:highlight w:val="none"/>
                <w:lang w:val="en-US" w:eastAsia="zh-CN"/>
              </w:rPr>
            </w:pPr>
            <w:r>
              <w:rPr>
                <w:rFonts w:hint="eastAsia" w:ascii="宋体" w:hAnsi="宋体" w:cs="宋体"/>
                <w:color w:val="auto"/>
                <w:w w:val="90"/>
                <w:sz w:val="24"/>
                <w:szCs w:val="24"/>
                <w:highlight w:val="none"/>
                <w:lang w:val="en-US" w:eastAsia="zh-CN"/>
              </w:rPr>
              <w:t>0-</w:t>
            </w:r>
            <w:r>
              <w:rPr>
                <w:rFonts w:hint="eastAsia" w:ascii="宋体" w:hAnsi="宋体" w:eastAsia="宋体" w:cs="宋体"/>
                <w:color w:val="auto"/>
                <w:w w:val="90"/>
                <w:sz w:val="24"/>
                <w:szCs w:val="24"/>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strike w:val="0"/>
                <w:dstrike w:val="0"/>
                <w:color w:val="auto"/>
                <w:sz w:val="24"/>
                <w:szCs w:val="24"/>
                <w:highlight w:val="none"/>
              </w:rPr>
              <w:t>针对</w:t>
            </w:r>
            <w:r>
              <w:rPr>
                <w:rFonts w:hint="eastAsia" w:ascii="Times New Roman" w:hAnsi="Times New Roman" w:eastAsia="宋体" w:cs="Times New Roman"/>
                <w:strike w:val="0"/>
                <w:dstrike w:val="0"/>
                <w:color w:val="auto"/>
                <w:sz w:val="24"/>
                <w:szCs w:val="24"/>
                <w:highlight w:val="none"/>
                <w:lang w:val="en-US" w:eastAsia="zh-CN"/>
              </w:rPr>
              <w:t>车辆制造商在车辆生产配套产品采购中所采购整车控制器集成程度、电机、车桥、空调及压缩机、空压机、免维护轮毂、轮胎等</w:t>
            </w:r>
            <w:r>
              <w:rPr>
                <w:rFonts w:hint="eastAsia" w:ascii="Times New Roman" w:hAnsi="Times New Roman" w:eastAsia="宋体" w:cs="Times New Roman"/>
                <w:strike w:val="0"/>
                <w:dstrike w:val="0"/>
                <w:color w:val="auto"/>
                <w:sz w:val="24"/>
                <w:szCs w:val="24"/>
                <w:highlight w:val="none"/>
                <w:lang w:eastAsia="zh-CN"/>
              </w:rPr>
              <w:t>主要零部件的</w:t>
            </w:r>
            <w:r>
              <w:rPr>
                <w:rFonts w:hint="eastAsia" w:ascii="Times New Roman" w:hAnsi="Times New Roman" w:eastAsia="宋体" w:cs="Times New Roman"/>
                <w:strike w:val="0"/>
                <w:dstrike w:val="0"/>
                <w:color w:val="auto"/>
                <w:sz w:val="24"/>
                <w:szCs w:val="24"/>
                <w:highlight w:val="none"/>
                <w:lang w:val="en-US" w:eastAsia="zh-CN"/>
              </w:rPr>
              <w:t>配置情况，</w:t>
            </w:r>
            <w:r>
              <w:rPr>
                <w:rFonts w:hint="eastAsia" w:ascii="Times New Roman" w:hAnsi="Times New Roman" w:eastAsia="宋体" w:cs="Times New Roman"/>
                <w:strike w:val="0"/>
                <w:dstrike w:val="0"/>
                <w:color w:val="auto"/>
                <w:sz w:val="24"/>
                <w:szCs w:val="24"/>
                <w:highlight w:val="none"/>
              </w:rPr>
              <w:t>由评委</w:t>
            </w:r>
            <w:r>
              <w:rPr>
                <w:rFonts w:hint="eastAsia" w:ascii="Times New Roman" w:hAnsi="Times New Roman" w:eastAsia="宋体" w:cs="Times New Roman"/>
                <w:strike w:val="0"/>
                <w:dstrike w:val="0"/>
                <w:color w:val="auto"/>
                <w:sz w:val="24"/>
                <w:szCs w:val="24"/>
                <w:highlight w:val="none"/>
                <w:lang w:val="en-US" w:eastAsia="zh-CN"/>
              </w:rPr>
              <w:t>根据配套件的配置情况</w:t>
            </w:r>
            <w:r>
              <w:rPr>
                <w:rFonts w:hint="eastAsia" w:ascii="Times New Roman" w:hAnsi="Times New Roman" w:eastAsia="宋体" w:cs="Times New Roman"/>
                <w:strike w:val="0"/>
                <w:dstrike w:val="0"/>
                <w:color w:val="auto"/>
                <w:sz w:val="24"/>
                <w:szCs w:val="24"/>
                <w:highlight w:val="none"/>
              </w:rPr>
              <w:t>进行打分</w:t>
            </w:r>
            <w:r>
              <w:rPr>
                <w:rFonts w:hint="eastAsia" w:ascii="Times New Roman" w:hAnsi="Times New Roman" w:eastAsia="宋体" w:cs="Times New Roman"/>
                <w:strike w:val="0"/>
                <w:dstrike w:val="0"/>
                <w:color w:val="auto"/>
                <w:sz w:val="24"/>
                <w:szCs w:val="24"/>
                <w:highlight w:val="none"/>
                <w:lang w:val="en-US" w:eastAsia="zh-CN"/>
              </w:rPr>
              <w:t>。</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szCs w:val="24"/>
                <w:highlight w:val="none"/>
                <w:lang w:val="en-US" w:eastAsia="zh-CN"/>
              </w:rPr>
              <w:t>0-4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pStyle w:val="2"/>
              <w:rPr>
                <w:rFonts w:hint="default" w:eastAsia="宋体"/>
                <w:highlight w:val="none"/>
                <w:lang w:val="en-US" w:eastAsia="zh-CN"/>
              </w:rPr>
            </w:pPr>
            <w:r>
              <w:rPr>
                <w:rFonts w:hint="eastAsia" w:ascii="Times New Roman" w:hAnsi="Times New Roman" w:eastAsia="宋体" w:cs="Times New Roman"/>
                <w:strike w:val="0"/>
                <w:dstrike w:val="0"/>
                <w:color w:val="auto"/>
                <w:kern w:val="2"/>
                <w:sz w:val="24"/>
                <w:szCs w:val="24"/>
                <w:highlight w:val="none"/>
                <w:lang w:val="en-US" w:eastAsia="zh-CN" w:bidi="ar-SA"/>
              </w:rPr>
              <w:t>根据投标供应商所投车型的整车控制器集成程度的情况，由评委进行打分，提供第三方检测报告，复印件加盖公章。其中：完全合理的得1-2分，基本合理的得0-1分。</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szCs w:val="24"/>
                <w:highlight w:val="none"/>
                <w:lang w:val="en-US" w:eastAsia="zh-CN"/>
              </w:rPr>
              <w:t>0-2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lang w:eastAsia="zh-CN"/>
              </w:rPr>
            </w:pPr>
            <w:r>
              <w:rPr>
                <w:rFonts w:hint="eastAsia"/>
                <w:color w:val="auto"/>
                <w:sz w:val="24"/>
                <w:szCs w:val="24"/>
                <w:highlight w:val="none"/>
                <w:lang w:eastAsia="zh-CN"/>
              </w:rPr>
              <w:t>辅助系统：车辆坡道起步辅助装置；停车自动驻车功能；车门未关闭禁止行驶装置；每提供一项得1分，共3分。（提供设备投入承诺证明材料原件核查，复印件加盖公章放入投标文件中，不提供不得分）</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lang w:val="en-US" w:eastAsia="zh-CN"/>
              </w:rPr>
              <w:t>0-</w:t>
            </w:r>
            <w:r>
              <w:rPr>
                <w:rFonts w:hint="eastAsia" w:ascii="宋体" w:hAnsi="宋体" w:cs="宋体"/>
                <w:color w:val="auto"/>
                <w:w w:val="90"/>
                <w:sz w:val="24"/>
                <w:szCs w:val="24"/>
                <w:highlight w:val="none"/>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lang w:eastAsia="zh-CN"/>
              </w:rPr>
              <w:t>采用气囊悬挂的</w:t>
            </w:r>
            <w:r>
              <w:rPr>
                <w:rFonts w:hint="eastAsia"/>
                <w:color w:val="auto"/>
                <w:sz w:val="24"/>
                <w:szCs w:val="24"/>
                <w:highlight w:val="none"/>
                <w:lang w:val="en-US" w:eastAsia="zh-CN"/>
              </w:rPr>
              <w:t>得1分，钢板悬挂不得分。（以投标车型公告页及投标供应商承诺为准）</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szCs w:val="24"/>
                <w:highlight w:val="none"/>
                <w:lang w:val="en-US" w:eastAsia="zh-CN"/>
              </w:rPr>
              <w:t>0-1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rPr>
              <w:t>车内采用一级踏步设计的得1分，二级踏步及以上的得</w:t>
            </w:r>
            <w:r>
              <w:rPr>
                <w:rFonts w:hint="eastAsia" w:ascii="宋体" w:hAnsi="宋体" w:cs="宋体"/>
                <w:strike w:val="0"/>
                <w:dstrike w:val="0"/>
                <w:color w:val="auto"/>
                <w:sz w:val="24"/>
                <w:szCs w:val="24"/>
                <w:highlight w:val="none"/>
                <w:lang w:val="en-US" w:eastAsia="zh-CN"/>
              </w:rPr>
              <w:t>0.5</w:t>
            </w:r>
            <w:r>
              <w:rPr>
                <w:rFonts w:hint="eastAsia" w:ascii="宋体" w:hAnsi="宋体" w:eastAsia="宋体" w:cs="宋体"/>
                <w:strike w:val="0"/>
                <w:dstrike w:val="0"/>
                <w:color w:val="auto"/>
                <w:sz w:val="24"/>
                <w:szCs w:val="24"/>
                <w:highlight w:val="none"/>
              </w:rPr>
              <w:t>分。（以厂家承诺函为准。）</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szCs w:val="24"/>
                <w:highlight w:val="none"/>
                <w:lang w:val="en-US" w:eastAsia="zh-CN"/>
              </w:rPr>
              <w:t>0-1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lang w:eastAsia="zh-CN"/>
              </w:rPr>
            </w:pPr>
            <w:r>
              <w:rPr>
                <w:rFonts w:hint="eastAsia"/>
                <w:color w:val="auto"/>
                <w:sz w:val="24"/>
                <w:szCs w:val="24"/>
                <w:highlight w:val="none"/>
                <w:lang w:eastAsia="zh-CN"/>
              </w:rPr>
              <w:t>动力电池（1）：根据投标人选用的电池整体</w:t>
            </w:r>
            <w:r>
              <w:rPr>
                <w:rFonts w:hint="eastAsia"/>
                <w:color w:val="auto"/>
                <w:sz w:val="24"/>
                <w:szCs w:val="24"/>
                <w:highlight w:val="none"/>
                <w:lang w:val="en-US" w:eastAsia="zh-CN"/>
              </w:rPr>
              <w:t>安全</w:t>
            </w:r>
            <w:r>
              <w:rPr>
                <w:rFonts w:hint="eastAsia"/>
                <w:color w:val="auto"/>
                <w:sz w:val="24"/>
                <w:szCs w:val="24"/>
                <w:highlight w:val="none"/>
                <w:lang w:eastAsia="zh-CN"/>
              </w:rPr>
              <w:t>性能</w:t>
            </w:r>
            <w:r>
              <w:rPr>
                <w:rFonts w:hint="eastAsia"/>
                <w:color w:val="auto"/>
                <w:sz w:val="24"/>
                <w:szCs w:val="24"/>
                <w:highlight w:val="none"/>
                <w:lang w:val="en-US" w:eastAsia="zh-CN"/>
              </w:rPr>
              <w:t>的</w:t>
            </w:r>
            <w:r>
              <w:rPr>
                <w:rFonts w:hint="eastAsia"/>
                <w:color w:val="auto"/>
                <w:sz w:val="24"/>
                <w:szCs w:val="24"/>
                <w:highlight w:val="none"/>
                <w:lang w:eastAsia="zh-CN"/>
              </w:rPr>
              <w:t>用户反馈情况</w:t>
            </w:r>
            <w:r>
              <w:rPr>
                <w:rFonts w:hint="eastAsia"/>
                <w:color w:val="auto"/>
                <w:sz w:val="24"/>
                <w:szCs w:val="24"/>
                <w:highlight w:val="none"/>
                <w:lang w:val="en-US" w:eastAsia="zh-CN"/>
              </w:rPr>
              <w:t>（</w:t>
            </w:r>
            <w:r>
              <w:rPr>
                <w:rFonts w:hint="eastAsia"/>
                <w:color w:val="auto"/>
                <w:sz w:val="24"/>
                <w:szCs w:val="24"/>
                <w:highlight w:val="none"/>
                <w:lang w:eastAsia="zh-CN"/>
              </w:rPr>
              <w:t>提供用户反馈证明复印件加盖公章</w:t>
            </w:r>
            <w:r>
              <w:rPr>
                <w:rFonts w:hint="eastAsia"/>
                <w:color w:val="auto"/>
                <w:sz w:val="24"/>
                <w:szCs w:val="24"/>
                <w:highlight w:val="none"/>
                <w:lang w:val="en-US" w:eastAsia="zh-CN"/>
              </w:rPr>
              <w:t>）</w:t>
            </w:r>
            <w:r>
              <w:rPr>
                <w:rFonts w:hint="eastAsia"/>
                <w:color w:val="auto"/>
                <w:sz w:val="24"/>
                <w:szCs w:val="24"/>
                <w:highlight w:val="none"/>
                <w:lang w:eastAsia="zh-CN"/>
              </w:rPr>
              <w:t>、质量可靠性、运行稳定性等，评委进行打分。</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w w:val="90"/>
                <w:sz w:val="24"/>
                <w:szCs w:val="24"/>
                <w:highlight w:val="none"/>
                <w:lang w:val="en-US" w:eastAsia="zh-CN"/>
              </w:rPr>
            </w:pPr>
            <w:r>
              <w:rPr>
                <w:rFonts w:hint="eastAsia" w:ascii="宋体" w:hAnsi="宋体" w:cs="宋体"/>
                <w:color w:val="auto"/>
                <w:w w:val="90"/>
                <w:sz w:val="24"/>
                <w:szCs w:val="24"/>
                <w:highlight w:val="none"/>
                <w:lang w:val="en-US" w:eastAsia="zh-CN"/>
              </w:rPr>
              <w:t>0-</w:t>
            </w:r>
            <w:r>
              <w:rPr>
                <w:rFonts w:hint="eastAsia" w:ascii="宋体" w:hAnsi="宋体" w:eastAsia="宋体" w:cs="宋体"/>
                <w:color w:val="auto"/>
                <w:w w:val="90"/>
                <w:sz w:val="24"/>
                <w:szCs w:val="24"/>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ascii="宋体" w:hAnsi="宋体" w:eastAsia="宋体" w:cs="宋体"/>
                <w:color w:val="auto"/>
                <w:sz w:val="24"/>
                <w:szCs w:val="24"/>
                <w:highlight w:val="none"/>
              </w:rPr>
              <w:t>动力电池（2）：</w:t>
            </w:r>
            <w:r>
              <w:rPr>
                <w:rFonts w:hint="eastAsia"/>
                <w:color w:val="auto"/>
                <w:sz w:val="24"/>
                <w:szCs w:val="24"/>
                <w:highlight w:val="none"/>
              </w:rPr>
              <w:t>投标人采用的动力电池生产企业售后服务能力通过国家标准GB/T27922-2011《商品售后服务评价体系》认证并获得证书，取得七星及以上的得</w:t>
            </w:r>
            <w:r>
              <w:rPr>
                <w:rFonts w:hint="eastAsia"/>
                <w:color w:val="auto"/>
                <w:sz w:val="24"/>
                <w:szCs w:val="24"/>
                <w:highlight w:val="none"/>
                <w:lang w:val="en-US" w:eastAsia="zh-CN"/>
              </w:rPr>
              <w:t>2</w:t>
            </w:r>
            <w:r>
              <w:rPr>
                <w:rFonts w:hint="eastAsia"/>
                <w:color w:val="auto"/>
                <w:sz w:val="24"/>
                <w:szCs w:val="24"/>
                <w:highlight w:val="none"/>
              </w:rPr>
              <w:t>分；取得六星的得</w:t>
            </w:r>
            <w:r>
              <w:rPr>
                <w:rFonts w:hint="eastAsia"/>
                <w:color w:val="auto"/>
                <w:sz w:val="24"/>
                <w:szCs w:val="24"/>
                <w:highlight w:val="none"/>
                <w:lang w:val="en-US" w:eastAsia="zh-CN"/>
              </w:rPr>
              <w:t>1</w:t>
            </w:r>
            <w:r>
              <w:rPr>
                <w:rFonts w:hint="eastAsia"/>
                <w:color w:val="auto"/>
                <w:sz w:val="24"/>
                <w:szCs w:val="24"/>
                <w:highlight w:val="none"/>
              </w:rPr>
              <w:t>分；（提供相关证明扫描件</w:t>
            </w:r>
            <w:r>
              <w:rPr>
                <w:rFonts w:hint="eastAsia"/>
                <w:color w:val="auto"/>
                <w:sz w:val="24"/>
                <w:szCs w:val="24"/>
                <w:highlight w:val="none"/>
                <w:lang w:eastAsia="zh-CN"/>
              </w:rPr>
              <w:t>加盖公章，复印件放入投标文件中</w:t>
            </w:r>
            <w:r>
              <w:rPr>
                <w:rFonts w:hint="eastAsia"/>
                <w:color w:val="auto"/>
                <w:sz w:val="24"/>
                <w:szCs w:val="24"/>
                <w:highlight w:val="none"/>
              </w:rPr>
              <w:t>）</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sz w:val="24"/>
                <w:szCs w:val="24"/>
                <w:highlight w:val="none"/>
                <w:lang w:val="en-US" w:eastAsia="zh-CN"/>
              </w:rPr>
            </w:pPr>
            <w:r>
              <w:rPr>
                <w:rFonts w:hint="eastAsia" w:ascii="宋体" w:hAnsi="宋体" w:cs="宋体"/>
                <w:color w:val="auto"/>
                <w:w w:val="90"/>
                <w:sz w:val="24"/>
                <w:szCs w:val="24"/>
                <w:highlight w:val="none"/>
                <w:lang w:val="en-US" w:eastAsia="zh-CN"/>
              </w:rPr>
              <w:t>0-2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default" w:eastAsia="宋体"/>
                <w:color w:val="auto"/>
                <w:sz w:val="24"/>
                <w:szCs w:val="24"/>
                <w:highlight w:val="none"/>
                <w:lang w:val="en-US" w:eastAsia="zh-CN"/>
              </w:rPr>
            </w:pPr>
            <w:r>
              <w:rPr>
                <w:rFonts w:hint="eastAsia"/>
                <w:color w:val="auto"/>
                <w:sz w:val="24"/>
                <w:szCs w:val="24"/>
                <w:highlight w:val="none"/>
              </w:rPr>
              <w:t>动力电池（3）：根据投标供应商选用的动力电池容量以</w:t>
            </w:r>
            <w:r>
              <w:rPr>
                <w:rFonts w:hint="eastAsia"/>
                <w:color w:val="auto"/>
                <w:sz w:val="24"/>
                <w:szCs w:val="24"/>
                <w:highlight w:val="none"/>
                <w:lang w:val="en-US" w:eastAsia="zh-CN"/>
              </w:rPr>
              <w:t>95</w:t>
            </w:r>
            <w:r>
              <w:rPr>
                <w:rFonts w:hint="eastAsia"/>
                <w:color w:val="auto"/>
                <w:sz w:val="24"/>
                <w:szCs w:val="24"/>
                <w:highlight w:val="none"/>
              </w:rPr>
              <w:t>KWh为基数，每增加1KWh加0.</w:t>
            </w:r>
            <w:r>
              <w:rPr>
                <w:rFonts w:hint="eastAsia"/>
                <w:color w:val="auto"/>
                <w:sz w:val="24"/>
                <w:szCs w:val="24"/>
                <w:highlight w:val="none"/>
                <w:lang w:val="en-US" w:eastAsia="zh-CN"/>
              </w:rPr>
              <w:t>1</w:t>
            </w:r>
            <w:r>
              <w:rPr>
                <w:rFonts w:hint="eastAsia"/>
                <w:color w:val="auto"/>
                <w:sz w:val="24"/>
                <w:szCs w:val="24"/>
                <w:highlight w:val="none"/>
              </w:rPr>
              <w:t>分，但最高不高于</w:t>
            </w:r>
            <w:r>
              <w:rPr>
                <w:rFonts w:hint="eastAsia"/>
                <w:color w:val="auto"/>
                <w:sz w:val="24"/>
                <w:szCs w:val="24"/>
                <w:highlight w:val="none"/>
                <w:lang w:val="en-US" w:eastAsia="zh-CN"/>
              </w:rPr>
              <w:t>4</w:t>
            </w:r>
            <w:r>
              <w:rPr>
                <w:rFonts w:hint="eastAsia"/>
                <w:color w:val="auto"/>
                <w:sz w:val="24"/>
                <w:szCs w:val="24"/>
                <w:highlight w:val="none"/>
              </w:rPr>
              <w:t>分</w:t>
            </w:r>
            <w:r>
              <w:rPr>
                <w:rFonts w:hint="eastAsia"/>
                <w:color w:val="auto"/>
                <w:sz w:val="24"/>
                <w:szCs w:val="24"/>
                <w:highlight w:val="none"/>
                <w:lang w:eastAsia="zh-CN"/>
              </w:rPr>
              <w:t>。</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lang w:val="en-US" w:eastAsia="zh-CN"/>
              </w:rPr>
              <w:t>0-</w:t>
            </w:r>
            <w:r>
              <w:rPr>
                <w:rFonts w:hint="eastAsia" w:ascii="宋体" w:hAnsi="宋体" w:cs="宋体"/>
                <w:color w:val="auto"/>
                <w:w w:val="90"/>
                <w:sz w:val="24"/>
                <w:szCs w:val="24"/>
                <w:highlight w:val="none"/>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highlight w:val="none"/>
                <w:lang w:val="en-US" w:eastAsia="zh-CN"/>
              </w:rPr>
            </w:pPr>
            <w:r>
              <w:rPr>
                <w:rFonts w:hint="eastAsia"/>
                <w:highlight w:val="none"/>
              </w:rPr>
              <w:t>动力电池（</w:t>
            </w:r>
            <w:r>
              <w:rPr>
                <w:rFonts w:hint="eastAsia"/>
                <w:highlight w:val="none"/>
                <w:lang w:val="en-US" w:eastAsia="zh-CN"/>
              </w:rPr>
              <w:t>4</w:t>
            </w:r>
            <w:r>
              <w:rPr>
                <w:rFonts w:hint="eastAsia"/>
                <w:highlight w:val="none"/>
              </w:rPr>
              <w:t>）：</w:t>
            </w:r>
            <w:r>
              <w:rPr>
                <w:rFonts w:ascii="宋体" w:hAnsi="宋体" w:eastAsia="宋体" w:cs="宋体"/>
                <w:sz w:val="24"/>
                <w:szCs w:val="24"/>
              </w:rPr>
              <w:t>所投车型电池和电芯产品的兼容情况进行打分，最高得1分。</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szCs w:val="24"/>
                <w:highlight w:val="none"/>
                <w:lang w:val="en-US" w:eastAsia="zh-CN"/>
              </w:rPr>
              <w:t>0-1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lang w:eastAsia="zh-CN"/>
              </w:rPr>
            </w:pPr>
            <w:r>
              <w:rPr>
                <w:rFonts w:hint="eastAsia" w:ascii="宋体" w:hAnsi="宋体" w:eastAsia="宋体" w:cs="宋体"/>
                <w:b w:val="0"/>
                <w:bCs w:val="0"/>
                <w:color w:val="auto"/>
                <w:w w:val="90"/>
                <w:sz w:val="24"/>
                <w:szCs w:val="24"/>
                <w:highlight w:val="none"/>
              </w:rPr>
              <w:t>电池舱设计：</w:t>
            </w:r>
            <w:r>
              <w:rPr>
                <w:rFonts w:hint="eastAsia"/>
                <w:color w:val="auto"/>
                <w:sz w:val="24"/>
                <w:szCs w:val="24"/>
                <w:highlight w:val="none"/>
              </w:rPr>
              <w:t>电池舱与乘客舱完全隔离，电池与乘客舱之间形成空间和热量隔离，并在电池舱体内壁加装防火隔热的材料及自动消防灭火装置。（提供实车照片并且出具书面说明函为准，未提供齐全的不得分）评委根据投入的设备及材料进行打分</w:t>
            </w:r>
            <w:r>
              <w:rPr>
                <w:rFonts w:hint="eastAsia"/>
                <w:color w:val="auto"/>
                <w:sz w:val="24"/>
                <w:szCs w:val="24"/>
                <w:highlight w:val="none"/>
                <w:lang w:eastAsia="zh-CN"/>
              </w:rPr>
              <w:t>。</w:t>
            </w:r>
          </w:p>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sz w:val="24"/>
                <w:szCs w:val="24"/>
                <w:highlight w:val="none"/>
                <w:lang w:eastAsia="zh-CN"/>
              </w:rPr>
            </w:pPr>
            <w:r>
              <w:rPr>
                <w:rFonts w:hint="eastAsia"/>
                <w:color w:val="auto"/>
                <w:sz w:val="24"/>
                <w:szCs w:val="24"/>
                <w:highlight w:val="none"/>
                <w:lang w:val="en-US" w:eastAsia="zh-CN"/>
              </w:rPr>
              <w:t>其中：</w:t>
            </w:r>
            <w:r>
              <w:rPr>
                <w:rFonts w:hint="eastAsia"/>
                <w:color w:val="auto"/>
                <w:sz w:val="24"/>
                <w:szCs w:val="24"/>
                <w:highlight w:val="none"/>
              </w:rPr>
              <w:t>电池舱设计完全合理满足采购</w:t>
            </w:r>
            <w:r>
              <w:rPr>
                <w:rFonts w:hint="eastAsia"/>
                <w:color w:val="auto"/>
                <w:sz w:val="24"/>
                <w:szCs w:val="24"/>
                <w:highlight w:val="none"/>
                <w:lang w:eastAsia="zh-CN"/>
              </w:rPr>
              <w:t>方</w:t>
            </w:r>
            <w:r>
              <w:rPr>
                <w:rFonts w:hint="eastAsia"/>
                <w:color w:val="auto"/>
                <w:sz w:val="24"/>
                <w:szCs w:val="24"/>
                <w:highlight w:val="none"/>
              </w:rPr>
              <w:t>要求</w:t>
            </w:r>
            <w:r>
              <w:rPr>
                <w:rFonts w:hint="eastAsia"/>
                <w:color w:val="auto"/>
                <w:sz w:val="24"/>
                <w:szCs w:val="24"/>
                <w:highlight w:val="none"/>
                <w:lang w:val="en-US" w:eastAsia="zh-CN"/>
              </w:rPr>
              <w:t>的</w:t>
            </w:r>
            <w:r>
              <w:rPr>
                <w:rFonts w:hint="eastAsia"/>
                <w:color w:val="auto"/>
                <w:sz w:val="24"/>
                <w:szCs w:val="24"/>
                <w:highlight w:val="none"/>
              </w:rPr>
              <w:t>得0.</w:t>
            </w:r>
            <w:r>
              <w:rPr>
                <w:rFonts w:hint="eastAsia"/>
                <w:color w:val="auto"/>
                <w:sz w:val="24"/>
                <w:szCs w:val="24"/>
                <w:highlight w:val="none"/>
                <w:lang w:val="en-US" w:eastAsia="zh-CN"/>
              </w:rPr>
              <w:t>5</w:t>
            </w:r>
            <w:r>
              <w:rPr>
                <w:rFonts w:hint="eastAsia"/>
                <w:color w:val="auto"/>
                <w:sz w:val="24"/>
                <w:szCs w:val="24"/>
                <w:highlight w:val="none"/>
              </w:rPr>
              <w:t>-1分；基本满足采购</w:t>
            </w:r>
            <w:r>
              <w:rPr>
                <w:rFonts w:hint="eastAsia"/>
                <w:color w:val="auto"/>
                <w:sz w:val="24"/>
                <w:szCs w:val="24"/>
                <w:highlight w:val="none"/>
                <w:lang w:eastAsia="zh-CN"/>
              </w:rPr>
              <w:t>方</w:t>
            </w:r>
            <w:r>
              <w:rPr>
                <w:rFonts w:hint="eastAsia"/>
                <w:color w:val="auto"/>
                <w:sz w:val="24"/>
                <w:szCs w:val="24"/>
                <w:highlight w:val="none"/>
              </w:rPr>
              <w:t>要求</w:t>
            </w:r>
            <w:r>
              <w:rPr>
                <w:rFonts w:hint="eastAsia"/>
                <w:color w:val="auto"/>
                <w:sz w:val="24"/>
                <w:szCs w:val="24"/>
                <w:highlight w:val="none"/>
                <w:lang w:val="en-US" w:eastAsia="zh-CN"/>
              </w:rPr>
              <w:t>的</w:t>
            </w:r>
            <w:r>
              <w:rPr>
                <w:rFonts w:hint="eastAsia"/>
                <w:color w:val="auto"/>
                <w:sz w:val="24"/>
                <w:szCs w:val="24"/>
                <w:highlight w:val="none"/>
              </w:rPr>
              <w:t>得</w:t>
            </w:r>
            <w:r>
              <w:rPr>
                <w:rFonts w:hint="eastAsia"/>
                <w:color w:val="auto"/>
                <w:sz w:val="24"/>
                <w:szCs w:val="24"/>
                <w:highlight w:val="none"/>
                <w:lang w:val="en-US" w:eastAsia="zh-CN"/>
              </w:rPr>
              <w:t>0-0.5</w:t>
            </w:r>
            <w:r>
              <w:rPr>
                <w:rFonts w:hint="eastAsia"/>
                <w:color w:val="auto"/>
                <w:sz w:val="24"/>
                <w:szCs w:val="24"/>
                <w:highlight w:val="none"/>
              </w:rPr>
              <w:t>分。</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ascii="宋体" w:hAnsi="宋体" w:cs="宋体"/>
                <w:color w:val="auto"/>
                <w:w w:val="90"/>
                <w:sz w:val="24"/>
                <w:szCs w:val="24"/>
                <w:highlight w:val="none"/>
                <w:lang w:val="en-US" w:eastAsia="zh-CN"/>
              </w:rPr>
              <w:t>0-</w:t>
            </w:r>
            <w:r>
              <w:rPr>
                <w:rFonts w:hint="eastAsia"/>
                <w:color w:val="auto"/>
                <w:sz w:val="24"/>
                <w:szCs w:val="24"/>
                <w:highlight w:val="none"/>
              </w:rP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color w:val="auto"/>
                <w:sz w:val="24"/>
                <w:szCs w:val="24"/>
                <w:highlight w:val="none"/>
              </w:rPr>
              <w:t>车辆外观与内饰：符合小型城市客车公交车型，适用城乡道路、旅游景区运营，外观要美观新颖，维修简便、操作简便、内饰材料耐脏易清洗布置合理、色彩搭配柔和、前后过道小圆角人性化设计等，</w:t>
            </w:r>
            <w:r>
              <w:rPr>
                <w:rFonts w:hint="eastAsia"/>
                <w:color w:val="auto"/>
                <w:sz w:val="24"/>
                <w:szCs w:val="24"/>
                <w:highlight w:val="none"/>
                <w:lang w:eastAsia="zh-CN"/>
              </w:rPr>
              <w:t>以及内部空间的利用率</w:t>
            </w:r>
            <w:r>
              <w:rPr>
                <w:rFonts w:hint="eastAsia"/>
                <w:color w:val="auto"/>
                <w:sz w:val="24"/>
                <w:szCs w:val="24"/>
                <w:highlight w:val="none"/>
              </w:rPr>
              <w:t>（提供实车前、后正面照片，左、右侧45度角车身照片，车内驾驶室、车内由前向后、由后向前照片，并且出具内饰特殊材料书面说明函为准）由评委进行打分。其中：完全合理完全满足采购</w:t>
            </w:r>
            <w:r>
              <w:rPr>
                <w:rFonts w:hint="eastAsia"/>
                <w:color w:val="auto"/>
                <w:sz w:val="24"/>
                <w:szCs w:val="24"/>
                <w:highlight w:val="none"/>
                <w:lang w:eastAsia="zh-CN"/>
              </w:rPr>
              <w:t>方</w:t>
            </w:r>
            <w:r>
              <w:rPr>
                <w:rFonts w:hint="eastAsia"/>
                <w:color w:val="auto"/>
                <w:sz w:val="24"/>
                <w:szCs w:val="24"/>
                <w:highlight w:val="none"/>
              </w:rPr>
              <w:t>要求</w:t>
            </w:r>
            <w:r>
              <w:rPr>
                <w:rFonts w:hint="eastAsia"/>
                <w:color w:val="auto"/>
                <w:sz w:val="24"/>
                <w:szCs w:val="24"/>
                <w:highlight w:val="none"/>
                <w:lang w:val="en-US" w:eastAsia="zh-CN"/>
              </w:rPr>
              <w:t>的得</w:t>
            </w:r>
            <w:r>
              <w:rPr>
                <w:rFonts w:hint="eastAsia"/>
                <w:color w:val="auto"/>
                <w:sz w:val="24"/>
                <w:szCs w:val="24"/>
                <w:highlight w:val="none"/>
              </w:rPr>
              <w:t>3.5-5分；基本满足采购</w:t>
            </w:r>
            <w:r>
              <w:rPr>
                <w:rFonts w:hint="eastAsia"/>
                <w:color w:val="auto"/>
                <w:sz w:val="24"/>
                <w:szCs w:val="24"/>
                <w:highlight w:val="none"/>
                <w:lang w:eastAsia="zh-CN"/>
              </w:rPr>
              <w:t>方</w:t>
            </w:r>
            <w:r>
              <w:rPr>
                <w:rFonts w:hint="eastAsia"/>
                <w:color w:val="auto"/>
                <w:sz w:val="24"/>
                <w:szCs w:val="24"/>
                <w:highlight w:val="none"/>
              </w:rPr>
              <w:t>要求</w:t>
            </w:r>
            <w:r>
              <w:rPr>
                <w:rFonts w:hint="eastAsia"/>
                <w:color w:val="auto"/>
                <w:sz w:val="24"/>
                <w:szCs w:val="24"/>
                <w:highlight w:val="none"/>
                <w:lang w:val="en-US" w:eastAsia="zh-CN"/>
              </w:rPr>
              <w:t>的</w:t>
            </w:r>
            <w:r>
              <w:rPr>
                <w:rFonts w:hint="eastAsia"/>
                <w:color w:val="auto"/>
                <w:sz w:val="24"/>
                <w:szCs w:val="24"/>
                <w:highlight w:val="none"/>
              </w:rPr>
              <w:t>得1.5-3.5分；部分满足采购</w:t>
            </w:r>
            <w:r>
              <w:rPr>
                <w:rFonts w:hint="eastAsia"/>
                <w:color w:val="auto"/>
                <w:sz w:val="24"/>
                <w:szCs w:val="24"/>
                <w:highlight w:val="none"/>
                <w:lang w:eastAsia="zh-CN"/>
              </w:rPr>
              <w:t>方</w:t>
            </w:r>
            <w:r>
              <w:rPr>
                <w:rFonts w:hint="eastAsia"/>
                <w:color w:val="auto"/>
                <w:sz w:val="24"/>
                <w:szCs w:val="24"/>
                <w:highlight w:val="none"/>
              </w:rPr>
              <w:t>要求</w:t>
            </w:r>
            <w:r>
              <w:rPr>
                <w:rFonts w:hint="eastAsia"/>
                <w:color w:val="auto"/>
                <w:sz w:val="24"/>
                <w:szCs w:val="24"/>
                <w:highlight w:val="none"/>
                <w:lang w:val="en-US" w:eastAsia="zh-CN"/>
              </w:rPr>
              <w:t>的</w:t>
            </w:r>
            <w:r>
              <w:rPr>
                <w:rFonts w:hint="eastAsia"/>
                <w:color w:val="auto"/>
                <w:sz w:val="24"/>
                <w:szCs w:val="24"/>
                <w:highlight w:val="none"/>
              </w:rPr>
              <w:t>得0-1.5分。</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lang w:val="en-US" w:eastAsia="zh-CN"/>
              </w:rPr>
              <w:t>0-</w:t>
            </w:r>
            <w:r>
              <w:rPr>
                <w:rFonts w:hint="eastAsia" w:ascii="宋体" w:hAnsi="宋体" w:cs="宋体"/>
                <w:color w:val="auto"/>
                <w:w w:val="90"/>
                <w:sz w:val="24"/>
                <w:szCs w:val="24"/>
                <w:highlight w:val="none"/>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座椅情况：根据供应商提供的座椅</w:t>
            </w:r>
            <w:r>
              <w:rPr>
                <w:rFonts w:hint="eastAsia"/>
                <w:color w:val="auto"/>
                <w:sz w:val="24"/>
                <w:szCs w:val="24"/>
                <w:highlight w:val="none"/>
                <w:lang w:eastAsia="zh-CN"/>
              </w:rPr>
              <w:t>技术指标、</w:t>
            </w:r>
            <w:r>
              <w:rPr>
                <w:rFonts w:hint="eastAsia"/>
                <w:color w:val="auto"/>
                <w:sz w:val="24"/>
                <w:szCs w:val="24"/>
                <w:highlight w:val="none"/>
                <w:lang w:val="en-US" w:eastAsia="zh-CN"/>
              </w:rPr>
              <w:t>材质等，由评委进行打分。</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w w:val="90"/>
                <w:sz w:val="24"/>
                <w:szCs w:val="24"/>
                <w:highlight w:val="none"/>
                <w:lang w:val="en-US" w:eastAsia="zh-CN"/>
              </w:rPr>
            </w:pPr>
            <w:r>
              <w:rPr>
                <w:rFonts w:hint="eastAsia" w:ascii="宋体" w:hAnsi="宋体" w:cs="宋体"/>
                <w:color w:val="auto"/>
                <w:w w:val="90"/>
                <w:sz w:val="24"/>
                <w:szCs w:val="24"/>
                <w:highlight w:val="none"/>
                <w:lang w:val="en-US" w:eastAsia="zh-CN"/>
              </w:rPr>
              <w:t>0-1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color w:val="auto"/>
                <w:sz w:val="24"/>
                <w:szCs w:val="24"/>
                <w:highlight w:val="none"/>
              </w:rPr>
              <w:t>设备赠送：赠送维修检测设备（故障分析仪），同一批次全车玻璃两套、全车灯具两套，</w:t>
            </w:r>
            <w:r>
              <w:rPr>
                <w:rFonts w:hint="eastAsia" w:ascii="宋体" w:hAnsi="宋体" w:eastAsia="宋体" w:cs="宋体"/>
                <w:color w:val="auto"/>
                <w:sz w:val="24"/>
                <w:szCs w:val="24"/>
                <w:highlight w:val="none"/>
              </w:rPr>
              <w:t>全车窗帘一套</w:t>
            </w:r>
            <w:r>
              <w:rPr>
                <w:rFonts w:hint="eastAsia"/>
                <w:color w:val="auto"/>
                <w:sz w:val="24"/>
                <w:szCs w:val="24"/>
                <w:highlight w:val="none"/>
              </w:rPr>
              <w:t>得</w:t>
            </w:r>
            <w:r>
              <w:rPr>
                <w:rFonts w:hint="eastAsia"/>
                <w:color w:val="auto"/>
                <w:sz w:val="24"/>
                <w:szCs w:val="24"/>
                <w:highlight w:val="none"/>
                <w:lang w:val="en-US" w:eastAsia="zh-CN"/>
              </w:rPr>
              <w:t>3</w:t>
            </w:r>
            <w:r>
              <w:rPr>
                <w:rFonts w:hint="eastAsia"/>
                <w:color w:val="auto"/>
                <w:sz w:val="24"/>
                <w:szCs w:val="24"/>
                <w:highlight w:val="none"/>
              </w:rPr>
              <w:t>分，缺少任意一项不得分。（提供设备清单所在页复印件加盖投标供应商公章）。</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sz w:val="24"/>
                <w:szCs w:val="24"/>
                <w:highlight w:val="none"/>
                <w:lang w:val="en-US" w:eastAsia="zh-CN"/>
              </w:rPr>
            </w:pPr>
            <w:r>
              <w:rPr>
                <w:rFonts w:hint="eastAsia" w:ascii="宋体" w:hAnsi="宋体" w:cs="宋体"/>
                <w:color w:val="auto"/>
                <w:w w:val="90"/>
                <w:sz w:val="24"/>
                <w:szCs w:val="24"/>
                <w:highlight w:val="none"/>
                <w:lang w:val="en-US" w:eastAsia="zh-CN"/>
              </w:rPr>
              <w:t>0-3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062" w:hRule="atLeast"/>
        </w:trPr>
        <w:tc>
          <w:tcPr>
            <w:tcW w:w="708" w:type="dxa"/>
            <w:vMerge w:val="restart"/>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4</w:t>
            </w:r>
          </w:p>
        </w:tc>
        <w:tc>
          <w:tcPr>
            <w:tcW w:w="1560" w:type="dxa"/>
            <w:vMerge w:val="restart"/>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color w:val="auto"/>
                <w:sz w:val="24"/>
                <w:szCs w:val="24"/>
                <w:highlight w:val="none"/>
              </w:rPr>
              <w:t>售后服务承诺</w:t>
            </w: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编制详细、合理、完善的售后服务方案；根据各投标供应商所投车辆在运营期间发生故障，</w:t>
            </w:r>
            <w:r>
              <w:rPr>
                <w:rFonts w:hint="eastAsia" w:ascii="宋体" w:hAnsi="宋体" w:cs="宋体"/>
                <w:color w:val="auto"/>
                <w:kern w:val="0"/>
                <w:sz w:val="24"/>
                <w:szCs w:val="24"/>
                <w:highlight w:val="none"/>
                <w:lang w:eastAsia="zh-CN"/>
              </w:rPr>
              <w:t>驻点服务、</w:t>
            </w:r>
            <w:r>
              <w:rPr>
                <w:rFonts w:hint="eastAsia" w:ascii="宋体" w:hAnsi="宋体" w:cs="宋体"/>
                <w:color w:val="auto"/>
                <w:kern w:val="0"/>
                <w:sz w:val="24"/>
                <w:szCs w:val="24"/>
                <w:highlight w:val="none"/>
              </w:rPr>
              <w:t>实际排故能力、维修汽配供应及时性、技术力量配置、国内售后体系得奖等售后服务保障情况，由评委进行打分。</w:t>
            </w:r>
          </w:p>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ascii="宋体" w:hAnsi="宋体" w:cs="宋体"/>
                <w:color w:val="auto"/>
                <w:kern w:val="0"/>
                <w:sz w:val="24"/>
                <w:szCs w:val="24"/>
                <w:highlight w:val="none"/>
              </w:rPr>
              <w:t>其中：完全合理得3-</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分；基本</w:t>
            </w:r>
            <w:r>
              <w:rPr>
                <w:rFonts w:hint="eastAsia" w:ascii="宋体" w:hAnsi="宋体" w:cs="宋体"/>
                <w:color w:val="auto"/>
                <w:kern w:val="0"/>
                <w:sz w:val="24"/>
                <w:szCs w:val="24"/>
                <w:highlight w:val="none"/>
                <w:lang w:eastAsia="zh-CN"/>
              </w:rPr>
              <w:t>合理</w:t>
            </w:r>
            <w:r>
              <w:rPr>
                <w:rFonts w:hint="eastAsia" w:ascii="宋体" w:hAnsi="宋体" w:cs="宋体"/>
                <w:color w:val="auto"/>
                <w:kern w:val="0"/>
                <w:sz w:val="24"/>
                <w:szCs w:val="24"/>
                <w:highlight w:val="none"/>
              </w:rPr>
              <w:t>得2-3分；部分</w:t>
            </w:r>
            <w:r>
              <w:rPr>
                <w:rFonts w:hint="eastAsia" w:ascii="宋体" w:hAnsi="宋体" w:cs="宋体"/>
                <w:color w:val="auto"/>
                <w:kern w:val="0"/>
                <w:sz w:val="24"/>
                <w:szCs w:val="24"/>
                <w:highlight w:val="none"/>
                <w:lang w:eastAsia="zh-CN"/>
              </w:rPr>
              <w:t>合理</w:t>
            </w:r>
            <w:r>
              <w:rPr>
                <w:rFonts w:hint="eastAsia" w:ascii="宋体" w:hAnsi="宋体" w:cs="宋体"/>
                <w:color w:val="auto"/>
                <w:kern w:val="0"/>
                <w:sz w:val="24"/>
                <w:szCs w:val="24"/>
                <w:highlight w:val="none"/>
              </w:rPr>
              <w:t>得0-1分。</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sz w:val="24"/>
                <w:szCs w:val="24"/>
                <w:highlight w:val="none"/>
                <w:lang w:val="en-US" w:eastAsia="zh-CN"/>
              </w:rPr>
            </w:pPr>
            <w:r>
              <w:rPr>
                <w:rFonts w:hint="eastAsia" w:ascii="宋体" w:hAnsi="宋体" w:cs="宋体"/>
                <w:color w:val="auto"/>
                <w:w w:val="90"/>
                <w:sz w:val="24"/>
                <w:szCs w:val="24"/>
                <w:highlight w:val="none"/>
                <w:lang w:val="en-US" w:eastAsia="zh-CN"/>
              </w:rPr>
              <w:t>0-4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062"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color w:val="auto"/>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color w:val="auto"/>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机构设立地点</w:t>
            </w:r>
            <w:r>
              <w:rPr>
                <w:rFonts w:hint="eastAsia" w:ascii="宋体" w:hAnsi="宋体" w:cs="宋体"/>
                <w:color w:val="auto"/>
                <w:kern w:val="0"/>
                <w:sz w:val="24"/>
                <w:szCs w:val="24"/>
                <w:highlight w:val="none"/>
                <w:lang w:eastAsia="zh-CN"/>
              </w:rPr>
              <w:t>：根据投标供应商售后服务机构设立情况，由评委进行打分。</w:t>
            </w:r>
            <w:r>
              <w:rPr>
                <w:rFonts w:hint="eastAsia" w:ascii="宋体" w:hAnsi="宋体" w:cs="宋体"/>
                <w:color w:val="auto"/>
                <w:kern w:val="0"/>
                <w:sz w:val="24"/>
                <w:szCs w:val="24"/>
                <w:highlight w:val="none"/>
              </w:rPr>
              <w:t>其中：完全合理得</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rPr>
              <w:t>分；基本</w:t>
            </w:r>
            <w:r>
              <w:rPr>
                <w:rFonts w:hint="eastAsia" w:ascii="宋体" w:hAnsi="宋体" w:cs="宋体"/>
                <w:color w:val="auto"/>
                <w:kern w:val="0"/>
                <w:sz w:val="24"/>
                <w:szCs w:val="24"/>
                <w:highlight w:val="none"/>
                <w:lang w:eastAsia="zh-CN"/>
              </w:rPr>
              <w:t>合理</w:t>
            </w:r>
            <w:r>
              <w:rPr>
                <w:rFonts w:hint="eastAsia" w:ascii="宋体" w:hAnsi="宋体" w:cs="宋体"/>
                <w:color w:val="auto"/>
                <w:kern w:val="0"/>
                <w:sz w:val="24"/>
                <w:szCs w:val="24"/>
                <w:highlight w:val="none"/>
              </w:rPr>
              <w:t>得</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分；部分</w:t>
            </w:r>
            <w:r>
              <w:rPr>
                <w:rFonts w:hint="eastAsia" w:ascii="宋体" w:hAnsi="宋体" w:cs="宋体"/>
                <w:color w:val="auto"/>
                <w:kern w:val="0"/>
                <w:sz w:val="24"/>
                <w:szCs w:val="24"/>
                <w:highlight w:val="none"/>
                <w:lang w:eastAsia="zh-CN"/>
              </w:rPr>
              <w:t>合理</w:t>
            </w:r>
            <w:r>
              <w:rPr>
                <w:rFonts w:hint="eastAsia" w:ascii="宋体" w:hAnsi="宋体" w:cs="宋体"/>
                <w:color w:val="auto"/>
                <w:kern w:val="0"/>
                <w:sz w:val="24"/>
                <w:szCs w:val="24"/>
                <w:highlight w:val="none"/>
              </w:rPr>
              <w:t>得0-1分。</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w w:val="90"/>
                <w:sz w:val="24"/>
                <w:szCs w:val="24"/>
                <w:highlight w:val="none"/>
                <w:lang w:val="en-US" w:eastAsia="zh-CN"/>
              </w:rPr>
              <w:t>0-</w:t>
            </w:r>
            <w:r>
              <w:rPr>
                <w:rFonts w:hint="eastAsia" w:ascii="宋体" w:hAnsi="宋体" w:cs="宋体"/>
                <w:color w:val="auto"/>
                <w:kern w:val="0"/>
                <w:sz w:val="24"/>
                <w:szCs w:val="24"/>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sz w:val="24"/>
                <w:szCs w:val="24"/>
                <w:highlight w:val="none"/>
                <w:lang w:val="en-US" w:eastAsia="zh-CN"/>
              </w:rPr>
            </w:pPr>
            <w:r>
              <w:rPr>
                <w:rFonts w:hint="eastAsia"/>
                <w:color w:val="auto"/>
                <w:sz w:val="24"/>
                <w:szCs w:val="24"/>
                <w:highlight w:val="none"/>
                <w:lang w:eastAsia="zh-CN"/>
              </w:rPr>
              <w:t>根据投标供应商存放于采购人指定地点的</w:t>
            </w:r>
            <w:r>
              <w:rPr>
                <w:rFonts w:hint="eastAsia"/>
                <w:color w:val="auto"/>
                <w:sz w:val="24"/>
                <w:szCs w:val="24"/>
                <w:highlight w:val="none"/>
              </w:rPr>
              <w:t>8年质保备件清单</w:t>
            </w:r>
            <w:r>
              <w:rPr>
                <w:rFonts w:hint="eastAsia"/>
                <w:color w:val="auto"/>
                <w:sz w:val="24"/>
                <w:szCs w:val="24"/>
                <w:highlight w:val="none"/>
                <w:lang w:val="en-US" w:eastAsia="zh-CN"/>
              </w:rPr>
              <w:t>及相关优惠条件</w:t>
            </w:r>
            <w:r>
              <w:rPr>
                <w:rFonts w:hint="eastAsia"/>
                <w:color w:val="auto"/>
                <w:sz w:val="24"/>
                <w:szCs w:val="24"/>
                <w:highlight w:val="none"/>
                <w:lang w:eastAsia="zh-CN"/>
              </w:rPr>
              <w:t>，</w:t>
            </w:r>
            <w:r>
              <w:rPr>
                <w:rFonts w:hint="eastAsia" w:ascii="宋体" w:hAnsi="宋体" w:cs="宋体"/>
                <w:color w:val="auto"/>
                <w:kern w:val="0"/>
                <w:sz w:val="24"/>
                <w:szCs w:val="24"/>
                <w:highlight w:val="none"/>
                <w:lang w:eastAsia="zh-CN"/>
              </w:rPr>
              <w:t>由评委进行打分。</w:t>
            </w:r>
            <w:r>
              <w:rPr>
                <w:rFonts w:hint="eastAsia"/>
                <w:color w:val="auto"/>
                <w:sz w:val="24"/>
                <w:szCs w:val="24"/>
                <w:highlight w:val="none"/>
              </w:rPr>
              <w:t>其中：</w:t>
            </w:r>
            <w:r>
              <w:rPr>
                <w:rFonts w:hint="eastAsia" w:ascii="宋体" w:hAnsi="宋体" w:cs="宋体"/>
                <w:color w:val="auto"/>
                <w:kern w:val="0"/>
                <w:sz w:val="24"/>
                <w:szCs w:val="24"/>
                <w:highlight w:val="none"/>
              </w:rPr>
              <w:t>完全合理得</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rPr>
              <w:t>分；基本</w:t>
            </w:r>
            <w:r>
              <w:rPr>
                <w:rFonts w:hint="eastAsia" w:ascii="宋体" w:hAnsi="宋体" w:cs="宋体"/>
                <w:color w:val="auto"/>
                <w:kern w:val="0"/>
                <w:sz w:val="24"/>
                <w:szCs w:val="24"/>
                <w:highlight w:val="none"/>
                <w:lang w:eastAsia="zh-CN"/>
              </w:rPr>
              <w:t>合理</w:t>
            </w:r>
            <w:r>
              <w:rPr>
                <w:rFonts w:hint="eastAsia" w:ascii="宋体" w:hAnsi="宋体" w:cs="宋体"/>
                <w:color w:val="auto"/>
                <w:kern w:val="0"/>
                <w:sz w:val="24"/>
                <w:szCs w:val="24"/>
                <w:highlight w:val="none"/>
              </w:rPr>
              <w:t>得</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分；部分</w:t>
            </w:r>
            <w:r>
              <w:rPr>
                <w:rFonts w:hint="eastAsia" w:ascii="宋体" w:hAnsi="宋体" w:cs="宋体"/>
                <w:color w:val="auto"/>
                <w:kern w:val="0"/>
                <w:sz w:val="24"/>
                <w:szCs w:val="24"/>
                <w:highlight w:val="none"/>
                <w:lang w:eastAsia="zh-CN"/>
              </w:rPr>
              <w:t>合理</w:t>
            </w:r>
            <w:r>
              <w:rPr>
                <w:rFonts w:hint="eastAsia" w:ascii="宋体" w:hAnsi="宋体" w:cs="宋体"/>
                <w:color w:val="auto"/>
                <w:kern w:val="0"/>
                <w:sz w:val="24"/>
                <w:szCs w:val="24"/>
                <w:highlight w:val="none"/>
              </w:rPr>
              <w:t>得0</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lang w:eastAsia="zh-CN"/>
              </w:rPr>
              <w:t>。</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sz w:val="24"/>
                <w:szCs w:val="24"/>
                <w:highlight w:val="none"/>
                <w:lang w:eastAsia="zh-CN"/>
              </w:rPr>
            </w:pPr>
            <w:r>
              <w:rPr>
                <w:rFonts w:hint="eastAsia" w:ascii="宋体" w:hAnsi="宋体" w:cs="宋体"/>
                <w:color w:val="auto"/>
                <w:w w:val="90"/>
                <w:sz w:val="24"/>
                <w:szCs w:val="24"/>
                <w:highlight w:val="none"/>
                <w:lang w:val="en-US" w:eastAsia="zh-CN"/>
              </w:rPr>
              <w:t>0-3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405"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color w:val="auto"/>
                <w:sz w:val="24"/>
                <w:szCs w:val="24"/>
                <w:highlight w:val="none"/>
              </w:rPr>
              <w:t>采购单位指派多名维修人员到中标厂家进行技术培训，培训内容：车辆的组成结构，车辆的使用原理，操作注意事项，故障排除，维护与检修。</w:t>
            </w:r>
          </w:p>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color w:val="auto"/>
                <w:sz w:val="24"/>
                <w:szCs w:val="24"/>
                <w:highlight w:val="none"/>
              </w:rPr>
              <w:t>培训计划：所投车辆上线组装调试期间，厂家合理安排培训课时，对委陪人员进行理论知识及上生产线实际操作培训。由评委进行打分；其中：完全合理得1.3-2分；基本</w:t>
            </w:r>
            <w:r>
              <w:rPr>
                <w:rFonts w:hint="eastAsia"/>
                <w:color w:val="auto"/>
                <w:sz w:val="24"/>
                <w:szCs w:val="24"/>
                <w:highlight w:val="none"/>
                <w:lang w:eastAsia="zh-CN"/>
              </w:rPr>
              <w:t>合理</w:t>
            </w:r>
            <w:r>
              <w:rPr>
                <w:rFonts w:hint="eastAsia"/>
                <w:color w:val="auto"/>
                <w:sz w:val="24"/>
                <w:szCs w:val="24"/>
                <w:highlight w:val="none"/>
              </w:rPr>
              <w:t>得0.7-1.3分；部分</w:t>
            </w:r>
            <w:r>
              <w:rPr>
                <w:rFonts w:hint="eastAsia"/>
                <w:color w:val="auto"/>
                <w:sz w:val="24"/>
                <w:szCs w:val="24"/>
                <w:highlight w:val="none"/>
                <w:lang w:eastAsia="zh-CN"/>
              </w:rPr>
              <w:t>合理</w:t>
            </w:r>
            <w:r>
              <w:rPr>
                <w:rFonts w:hint="eastAsia"/>
                <w:color w:val="auto"/>
                <w:sz w:val="24"/>
                <w:szCs w:val="24"/>
                <w:highlight w:val="none"/>
              </w:rPr>
              <w:t>得0-0.7分。</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lang w:val="en-US" w:eastAsia="zh-CN"/>
              </w:rPr>
              <w:t>0-</w:t>
            </w:r>
            <w:r>
              <w:rPr>
                <w:rFonts w:hint="eastAsia" w:ascii="宋体" w:hAnsi="宋体" w:cs="宋体"/>
                <w:color w:val="auto"/>
                <w:w w:val="90"/>
                <w:sz w:val="24"/>
                <w:szCs w:val="24"/>
                <w:highlight w:val="none"/>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497" w:hRule="atLeast"/>
        </w:trPr>
        <w:tc>
          <w:tcPr>
            <w:tcW w:w="708"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p>
        </w:tc>
        <w:tc>
          <w:tcPr>
            <w:tcW w:w="1560" w:type="dxa"/>
            <w:vMerge w:val="continue"/>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p>
        </w:tc>
        <w:tc>
          <w:tcPr>
            <w:tcW w:w="7881" w:type="dxa"/>
            <w:noWrap w:val="0"/>
            <w:vAlign w:val="center"/>
          </w:tcPr>
          <w:p>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4"/>
                <w:szCs w:val="24"/>
                <w:highlight w:val="none"/>
              </w:rPr>
            </w:pPr>
            <w:r>
              <w:rPr>
                <w:rFonts w:hint="eastAsia" w:ascii="宋体" w:hAnsi="宋体" w:cs="宋体"/>
                <w:color w:val="auto"/>
                <w:kern w:val="0"/>
                <w:sz w:val="24"/>
                <w:szCs w:val="24"/>
                <w:highlight w:val="none"/>
                <w:lang w:eastAsia="zh-CN"/>
              </w:rPr>
              <w:t>根据投标供应商整车质保时间（整车质保时间承诺书必需包含整车（</w:t>
            </w:r>
            <w:r>
              <w:rPr>
                <w:rFonts w:hint="eastAsia" w:ascii="宋体" w:hAnsi="宋体" w:cs="宋体"/>
                <w:color w:val="auto"/>
                <w:kern w:val="0"/>
                <w:sz w:val="24"/>
                <w:szCs w:val="24"/>
                <w:highlight w:val="none"/>
                <w:lang w:val="en-US" w:eastAsia="zh-CN"/>
              </w:rPr>
              <w:t>除必须质保八年部件清单外</w:t>
            </w:r>
            <w:r>
              <w:rPr>
                <w:rFonts w:hint="eastAsia" w:ascii="宋体" w:hAnsi="宋体" w:cs="宋体"/>
                <w:color w:val="auto"/>
                <w:kern w:val="0"/>
                <w:sz w:val="24"/>
                <w:szCs w:val="24"/>
                <w:highlight w:val="none"/>
                <w:lang w:eastAsia="zh-CN"/>
              </w:rPr>
              <w:t>）所含具体零部件质保时间不低于整车</w:t>
            </w:r>
            <w:r>
              <w:rPr>
                <w:rFonts w:hint="eastAsia" w:ascii="宋体" w:hAnsi="宋体" w:cs="宋体"/>
                <w:color w:val="auto"/>
                <w:kern w:val="0"/>
                <w:sz w:val="24"/>
                <w:szCs w:val="24"/>
                <w:highlight w:val="none"/>
                <w:lang w:val="en-US" w:eastAsia="zh-CN"/>
              </w:rPr>
              <w:t>质保时间两年（易耗件除外）</w:t>
            </w:r>
            <w:r>
              <w:rPr>
                <w:rFonts w:hint="eastAsia" w:ascii="宋体" w:hAnsi="宋体" w:cs="宋体"/>
                <w:color w:val="auto"/>
                <w:kern w:val="0"/>
                <w:sz w:val="24"/>
                <w:szCs w:val="24"/>
                <w:highlight w:val="none"/>
                <w:lang w:eastAsia="zh-CN"/>
              </w:rPr>
              <w:t>，由评委进行打分。其中：</w:t>
            </w:r>
            <w:r>
              <w:rPr>
                <w:rFonts w:hint="eastAsia" w:ascii="宋体" w:hAnsi="宋体" w:cs="宋体"/>
                <w:color w:val="auto"/>
                <w:kern w:val="0"/>
                <w:sz w:val="24"/>
                <w:szCs w:val="24"/>
                <w:highlight w:val="none"/>
                <w:lang w:val="en-US" w:eastAsia="zh-CN"/>
              </w:rPr>
              <w:t>整车质保时间延长一年的并结合易耗件覆盖情况得0-1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整车质保时间延长两年的并结合易耗件覆盖情况得0-2</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整车质保时间延长三年的并结合易耗件覆盖情况得0-3</w:t>
            </w:r>
            <w:r>
              <w:rPr>
                <w:rFonts w:hint="eastAsia" w:ascii="宋体" w:hAnsi="宋体" w:cs="宋体"/>
                <w:color w:val="auto"/>
                <w:kern w:val="0"/>
                <w:sz w:val="24"/>
                <w:szCs w:val="24"/>
                <w:highlight w:val="none"/>
                <w:lang w:eastAsia="zh-CN"/>
              </w:rPr>
              <w:t>；</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w w:val="90"/>
                <w:sz w:val="24"/>
                <w:szCs w:val="24"/>
                <w:highlight w:val="none"/>
                <w:lang w:val="en-US" w:eastAsia="zh-CN"/>
              </w:rPr>
            </w:pPr>
            <w:r>
              <w:rPr>
                <w:rFonts w:hint="eastAsia" w:ascii="宋体" w:hAnsi="宋体" w:cs="宋体"/>
                <w:color w:val="auto"/>
                <w:w w:val="90"/>
                <w:sz w:val="24"/>
                <w:szCs w:val="24"/>
                <w:highlight w:val="none"/>
                <w:lang w:val="en-US" w:eastAsia="zh-CN"/>
              </w:rPr>
              <w:t>0-3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10149" w:type="dxa"/>
            <w:gridSpan w:val="3"/>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w w:val="90"/>
                <w:sz w:val="24"/>
                <w:szCs w:val="24"/>
                <w:highlight w:val="none"/>
              </w:rPr>
            </w:pPr>
            <w:r>
              <w:rPr>
                <w:rFonts w:hint="eastAsia" w:ascii="宋体" w:hAnsi="宋体" w:cs="宋体"/>
                <w:b/>
                <w:color w:val="auto"/>
                <w:w w:val="90"/>
                <w:sz w:val="24"/>
                <w:szCs w:val="24"/>
                <w:highlight w:val="none"/>
              </w:rPr>
              <w:t>合计</w:t>
            </w:r>
          </w:p>
        </w:tc>
        <w:tc>
          <w:tcPr>
            <w:tcW w:w="775" w:type="dxa"/>
            <w:noWrap w:val="0"/>
            <w:vAlign w:val="center"/>
          </w:tcPr>
          <w:p>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w w:val="90"/>
                <w:sz w:val="24"/>
                <w:szCs w:val="24"/>
                <w:highlight w:val="none"/>
              </w:rPr>
            </w:pPr>
            <w:r>
              <w:rPr>
                <w:rFonts w:hint="eastAsia" w:ascii="宋体" w:hAnsi="宋体" w:cs="宋体"/>
                <w:b/>
                <w:color w:val="auto"/>
                <w:w w:val="90"/>
                <w:sz w:val="24"/>
                <w:szCs w:val="24"/>
                <w:highlight w:val="none"/>
              </w:rPr>
              <w:t>0-</w:t>
            </w:r>
            <w:r>
              <w:rPr>
                <w:rFonts w:hint="eastAsia" w:ascii="宋体" w:hAnsi="宋体" w:cs="宋体"/>
                <w:b/>
                <w:color w:val="auto"/>
                <w:w w:val="90"/>
                <w:sz w:val="24"/>
                <w:szCs w:val="24"/>
                <w:highlight w:val="none"/>
                <w:lang w:val="en-US" w:eastAsia="zh-CN"/>
              </w:rPr>
              <w:t>7</w:t>
            </w:r>
            <w:r>
              <w:rPr>
                <w:rFonts w:hint="eastAsia" w:ascii="宋体" w:hAnsi="宋体" w:cs="宋体"/>
                <w:b/>
                <w:color w:val="auto"/>
                <w:w w:val="90"/>
                <w:sz w:val="24"/>
                <w:szCs w:val="24"/>
                <w:highlight w:val="none"/>
              </w:rPr>
              <w:t>0</w:t>
            </w:r>
          </w:p>
        </w:tc>
      </w:tr>
    </w:tbl>
    <w:p>
      <w:pPr>
        <w:pStyle w:val="24"/>
        <w:adjustRightInd w:val="0"/>
        <w:snapToGrid w:val="0"/>
        <w:spacing w:line="400" w:lineRule="exact"/>
        <w:rPr>
          <w:rFonts w:hint="eastAsia" w:hAnsi="宋体" w:cs="宋体"/>
          <w:b/>
          <w:color w:val="auto"/>
          <w:szCs w:val="22"/>
          <w:highlight w:val="none"/>
          <w:lang w:val="en-US" w:eastAsia="zh-CN"/>
        </w:rPr>
      </w:pPr>
    </w:p>
    <w:p>
      <w:pPr>
        <w:pStyle w:val="24"/>
        <w:adjustRightInd w:val="0"/>
        <w:snapToGrid w:val="0"/>
        <w:spacing w:line="380" w:lineRule="exact"/>
        <w:rPr>
          <w:rFonts w:hint="eastAsia" w:hAnsi="宋体" w:cs="宋体"/>
          <w:color w:val="auto"/>
          <w:szCs w:val="22"/>
          <w:highlight w:val="none"/>
        </w:rPr>
      </w:pPr>
    </w:p>
    <w:p>
      <w:pPr>
        <w:pStyle w:val="24"/>
        <w:adjustRightInd w:val="0"/>
        <w:snapToGrid w:val="0"/>
        <w:spacing w:line="380" w:lineRule="exact"/>
        <w:rPr>
          <w:rFonts w:hint="eastAsia" w:hAnsi="宋体" w:cs="宋体"/>
          <w:color w:val="auto"/>
          <w:szCs w:val="22"/>
          <w:highlight w:val="none"/>
        </w:rPr>
      </w:pPr>
      <w:r>
        <w:rPr>
          <w:rFonts w:hint="eastAsia" w:hAnsi="宋体" w:cs="宋体"/>
          <w:color w:val="auto"/>
          <w:szCs w:val="22"/>
          <w:highlight w:val="none"/>
        </w:rPr>
        <w:t>三、说明</w:t>
      </w:r>
    </w:p>
    <w:p>
      <w:pPr>
        <w:adjustRightInd w:val="0"/>
        <w:snapToGrid w:val="0"/>
        <w:spacing w:line="380" w:lineRule="exact"/>
        <w:ind w:firstLine="440" w:firstLineChars="200"/>
        <w:rPr>
          <w:rFonts w:hint="eastAsia" w:ascii="宋体" w:hAnsi="宋体" w:cs="宋体"/>
          <w:color w:val="auto"/>
          <w:szCs w:val="22"/>
          <w:highlight w:val="none"/>
        </w:rPr>
      </w:pPr>
      <w:r>
        <w:rPr>
          <w:rFonts w:hint="eastAsia" w:ascii="宋体" w:hAnsi="宋体" w:cs="宋体"/>
          <w:color w:val="auto"/>
          <w:szCs w:val="22"/>
          <w:highlight w:val="none"/>
        </w:rPr>
        <w:t>1、每个供应商最终得分=技术资信部分分值（所有评标委员会评分的算术平均值，四舍五入后保留小数点两位小数）＋商务报价部分分值。</w:t>
      </w:r>
    </w:p>
    <w:p>
      <w:pPr>
        <w:adjustRightInd w:val="0"/>
        <w:snapToGrid w:val="0"/>
        <w:spacing w:line="380" w:lineRule="exact"/>
        <w:ind w:firstLine="440" w:firstLineChars="200"/>
        <w:rPr>
          <w:rFonts w:hint="eastAsia" w:ascii="宋体" w:cs="Arial"/>
          <w:snapToGrid w:val="0"/>
          <w:color w:val="auto"/>
          <w:szCs w:val="22"/>
          <w:highlight w:val="none"/>
        </w:rPr>
      </w:pPr>
      <w:r>
        <w:rPr>
          <w:rFonts w:hint="eastAsia" w:ascii="宋体"/>
          <w:color w:val="auto"/>
          <w:szCs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pPr>
        <w:adjustRightInd w:val="0"/>
        <w:snapToGrid w:val="0"/>
        <w:spacing w:line="380" w:lineRule="exact"/>
        <w:ind w:firstLine="420"/>
        <w:rPr>
          <w:rFonts w:hint="eastAsia" w:ascii="宋体" w:hAnsi="宋体" w:cs="宋体"/>
          <w:snapToGrid w:val="0"/>
          <w:color w:val="auto"/>
          <w:szCs w:val="22"/>
          <w:highlight w:val="none"/>
        </w:rPr>
      </w:pPr>
      <w:r>
        <w:rPr>
          <w:rFonts w:hint="eastAsia" w:ascii="宋体" w:hAnsi="宋体" w:cs="宋体"/>
          <w:snapToGrid w:val="0"/>
          <w:color w:val="auto"/>
          <w:szCs w:val="22"/>
          <w:highlight w:val="none"/>
        </w:rPr>
        <w:t>3、所有分值计算保留小数点后两位，小数点后三位四舍五入。</w:t>
      </w:r>
    </w:p>
    <w:p>
      <w:pPr>
        <w:adjustRightInd w:val="0"/>
        <w:snapToGrid w:val="0"/>
        <w:spacing w:line="380" w:lineRule="exact"/>
        <w:ind w:firstLine="420"/>
        <w:rPr>
          <w:rFonts w:hint="eastAsia" w:ascii="宋体" w:hAnsi="宋体" w:cs="Arial"/>
          <w:snapToGrid w:val="0"/>
          <w:color w:val="auto"/>
          <w:szCs w:val="22"/>
          <w:highlight w:val="none"/>
        </w:rPr>
      </w:pPr>
      <w:r>
        <w:rPr>
          <w:rFonts w:hint="eastAsia" w:ascii="宋体" w:cs="Arial"/>
          <w:snapToGrid w:val="0"/>
          <w:color w:val="auto"/>
          <w:szCs w:val="22"/>
          <w:highlight w:val="none"/>
        </w:rPr>
        <w:t>4、评标过程中遇到特殊情况，由评标委员会遵循公开、公正原则，采取投票方式按照少数服从多数原则决定。</w:t>
      </w:r>
    </w:p>
    <w:p>
      <w:pPr>
        <w:adjustRightInd w:val="0"/>
        <w:snapToGrid w:val="0"/>
        <w:spacing w:line="380" w:lineRule="exact"/>
        <w:ind w:firstLine="420"/>
        <w:rPr>
          <w:rFonts w:hint="eastAsia" w:ascii="宋体" w:cs="Arial"/>
          <w:snapToGrid w:val="0"/>
          <w:color w:val="auto"/>
          <w:szCs w:val="22"/>
          <w:highlight w:val="none"/>
        </w:rPr>
      </w:pPr>
      <w:r>
        <w:rPr>
          <w:rFonts w:hint="eastAsia" w:ascii="宋体" w:cs="Arial"/>
          <w:snapToGrid w:val="0"/>
          <w:color w:val="auto"/>
          <w:szCs w:val="22"/>
          <w:highlight w:val="none"/>
        </w:rPr>
        <w:t>参见本招标文件第三部分：“供应商须知” 中的相关内容，未尽事宜按有关法律规定处理。</w:t>
      </w:r>
    </w:p>
    <w:p>
      <w:pPr>
        <w:pStyle w:val="21"/>
        <w:rPr>
          <w:rFonts w:hint="eastAsia"/>
          <w:color w:val="auto"/>
          <w:highlight w:val="none"/>
        </w:rPr>
      </w:pPr>
    </w:p>
    <w:p>
      <w:pPr>
        <w:spacing w:line="360" w:lineRule="auto"/>
        <w:jc w:val="center"/>
        <w:rPr>
          <w:rFonts w:hint="eastAsia" w:ascii="宋体" w:hAnsi="宋体" w:cs="宋体"/>
          <w:b/>
          <w:bCs/>
          <w:color w:val="auto"/>
          <w:spacing w:val="-30"/>
          <w:sz w:val="36"/>
          <w:highlight w:val="none"/>
        </w:rPr>
      </w:pPr>
      <w:r>
        <w:rPr>
          <w:rFonts w:hint="eastAsia" w:ascii="宋体" w:hAnsi="宋体" w:cs="宋体"/>
          <w:b/>
          <w:bCs/>
          <w:color w:val="auto"/>
          <w:spacing w:val="-30"/>
          <w:sz w:val="36"/>
          <w:highlight w:val="none"/>
        </w:rPr>
        <w:br w:type="page"/>
      </w:r>
      <w:r>
        <w:rPr>
          <w:rFonts w:hint="eastAsia" w:ascii="宋体" w:hAnsi="宋体" w:cs="宋体"/>
          <w:b/>
          <w:bCs/>
          <w:color w:val="auto"/>
          <w:spacing w:val="-30"/>
          <w:sz w:val="36"/>
          <w:highlight w:val="none"/>
        </w:rPr>
        <w:t>投标文件封条</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（注：供应商在密封标书时将下列封条沿线剪下，不够可复印）</w:t>
      </w:r>
    </w:p>
    <w:tbl>
      <w:tblPr>
        <w:tblStyle w:val="42"/>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9105" w:type="dxa"/>
            <w:noWrap w:val="0"/>
            <w:vAlign w:val="top"/>
          </w:tcPr>
          <w:p>
            <w:pPr>
              <w:rPr>
                <w:rFonts w:hint="eastAsia" w:ascii="宋体" w:hAnsi="宋体" w:cs="宋体"/>
                <w:color w:val="auto"/>
                <w:spacing w:val="-30"/>
                <w:highlight w:val="none"/>
              </w:rPr>
            </w:pPr>
            <w:r>
              <w:rPr>
                <w:rFonts w:hint="eastAsia" w:ascii="宋体" w:hAnsi="宋体" w:cs="宋体"/>
                <w:color w:val="auto"/>
                <w:spacing w:val="-30"/>
                <w:highlight w:val="none"/>
              </w:rPr>
              <w:t xml:space="preserve"> </w:t>
            </w:r>
          </w:p>
        </w:tc>
      </w:tr>
    </w:tbl>
    <w:p>
      <w:pPr>
        <w:spacing w:line="600" w:lineRule="exact"/>
        <w:jc w:val="center"/>
        <w:rPr>
          <w:rFonts w:hint="eastAsia" w:ascii="宋体" w:hAnsi="宋体" w:cs="宋体"/>
          <w:b/>
          <w:bCs/>
          <w:color w:val="auto"/>
          <w:spacing w:val="-30"/>
          <w:sz w:val="36"/>
          <w:szCs w:val="36"/>
          <w:highlight w:val="none"/>
        </w:rPr>
      </w:pPr>
      <w:r>
        <w:rPr>
          <w:rFonts w:hint="eastAsia" w:ascii="宋体" w:hAnsi="宋体" w:cs="宋体"/>
          <w:b/>
          <w:bCs/>
          <w:color w:val="auto"/>
          <w:spacing w:val="-30"/>
          <w:sz w:val="36"/>
          <w:szCs w:val="36"/>
          <w:highlight w:val="none"/>
          <w:lang w:eastAsia="zh-CN"/>
        </w:rPr>
        <w:t>2021年纯电动客车采购资格审核资料部分</w:t>
      </w:r>
      <w:r>
        <w:rPr>
          <w:rFonts w:hint="eastAsia" w:ascii="宋体" w:hAnsi="宋体" w:cs="宋体"/>
          <w:b/>
          <w:bCs/>
          <w:color w:val="auto"/>
          <w:spacing w:val="-30"/>
          <w:sz w:val="36"/>
          <w:szCs w:val="36"/>
          <w:highlight w:val="none"/>
        </w:rPr>
        <w:t>投标文件密封袋封条</w:t>
      </w:r>
    </w:p>
    <w:p>
      <w:pPr>
        <w:pStyle w:val="30"/>
        <w:spacing w:line="500" w:lineRule="exact"/>
        <w:ind w:firstLine="258"/>
        <w:jc w:val="center"/>
        <w:rPr>
          <w:rFonts w:hint="eastAsia" w:ascii="宋体" w:hAnsi="宋体" w:cs="宋体"/>
          <w:color w:val="auto"/>
          <w:spacing w:val="-30"/>
          <w:highlight w:val="none"/>
          <w:shd w:val="pct10" w:color="auto" w:fill="FFFFFF"/>
        </w:rPr>
      </w:pPr>
      <w:r>
        <w:rPr>
          <w:rFonts w:hint="eastAsia" w:ascii="宋体" w:hAnsi="宋体" w:cs="宋体"/>
          <w:color w:val="auto"/>
          <w:spacing w:val="-30"/>
          <w:highlight w:val="none"/>
          <w:shd w:val="pct10" w:color="auto" w:fill="FFFFFF"/>
        </w:rPr>
        <w:t>加 盖 投 标 单 位 公章 及法定代表人或 其 法 定 代 表 人 委 托 代 理 人 签 字 或 盖 章</w:t>
      </w:r>
    </w:p>
    <w:tbl>
      <w:tblPr>
        <w:tblStyle w:val="42"/>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05" w:type="dxa"/>
            <w:noWrap w:val="0"/>
            <w:vAlign w:val="top"/>
          </w:tcPr>
          <w:p>
            <w:pPr>
              <w:jc w:val="center"/>
              <w:rPr>
                <w:rFonts w:hint="eastAsia" w:ascii="宋体" w:hAnsi="宋体" w:cs="宋体"/>
                <w:color w:val="auto"/>
                <w:spacing w:val="-30"/>
                <w:highlight w:val="none"/>
              </w:rPr>
            </w:pPr>
          </w:p>
        </w:tc>
      </w:tr>
    </w:tbl>
    <w:p>
      <w:pPr>
        <w:pStyle w:val="21"/>
        <w:rPr>
          <w:rFonts w:hint="eastAsia"/>
          <w:color w:val="auto"/>
          <w:highlight w:val="none"/>
        </w:rPr>
      </w:pPr>
    </w:p>
    <w:tbl>
      <w:tblPr>
        <w:tblStyle w:val="42"/>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9105" w:type="dxa"/>
            <w:noWrap w:val="0"/>
            <w:vAlign w:val="top"/>
          </w:tcPr>
          <w:p>
            <w:pPr>
              <w:rPr>
                <w:rFonts w:hint="eastAsia" w:ascii="宋体" w:hAnsi="宋体" w:cs="宋体"/>
                <w:color w:val="auto"/>
                <w:spacing w:val="-30"/>
                <w:highlight w:val="none"/>
              </w:rPr>
            </w:pPr>
            <w:r>
              <w:rPr>
                <w:rFonts w:hint="eastAsia" w:ascii="宋体" w:hAnsi="宋体" w:cs="宋体"/>
                <w:color w:val="auto"/>
                <w:spacing w:val="-30"/>
                <w:highlight w:val="none"/>
              </w:rPr>
              <w:t xml:space="preserve"> </w:t>
            </w:r>
          </w:p>
        </w:tc>
      </w:tr>
    </w:tbl>
    <w:p>
      <w:pPr>
        <w:spacing w:line="600" w:lineRule="exact"/>
        <w:jc w:val="center"/>
        <w:rPr>
          <w:rFonts w:hint="eastAsia" w:ascii="宋体" w:hAnsi="宋体" w:cs="宋体"/>
          <w:b/>
          <w:bCs/>
          <w:color w:val="auto"/>
          <w:spacing w:val="-30"/>
          <w:sz w:val="36"/>
          <w:szCs w:val="36"/>
          <w:highlight w:val="none"/>
        </w:rPr>
      </w:pPr>
      <w:r>
        <w:rPr>
          <w:rFonts w:hint="eastAsia" w:ascii="宋体" w:hAnsi="宋体" w:cs="宋体"/>
          <w:b/>
          <w:bCs/>
          <w:color w:val="auto"/>
          <w:spacing w:val="-30"/>
          <w:sz w:val="36"/>
          <w:szCs w:val="36"/>
          <w:highlight w:val="none"/>
          <w:lang w:eastAsia="zh-CN"/>
        </w:rPr>
        <w:t>2021年纯电动客车采购</w:t>
      </w:r>
      <w:r>
        <w:rPr>
          <w:rFonts w:hint="eastAsia" w:ascii="宋体" w:hAnsi="宋体" w:cs="宋体"/>
          <w:b/>
          <w:bCs/>
          <w:color w:val="auto"/>
          <w:spacing w:val="-30"/>
          <w:sz w:val="36"/>
          <w:szCs w:val="36"/>
          <w:highlight w:val="none"/>
        </w:rPr>
        <w:t>商务报价部分投标文件密封袋封条</w:t>
      </w:r>
    </w:p>
    <w:p>
      <w:pPr>
        <w:pStyle w:val="30"/>
        <w:spacing w:line="500" w:lineRule="exact"/>
        <w:ind w:firstLine="258"/>
        <w:jc w:val="center"/>
        <w:rPr>
          <w:rFonts w:hint="eastAsia" w:ascii="宋体" w:hAnsi="宋体" w:cs="宋体"/>
          <w:color w:val="auto"/>
          <w:spacing w:val="-30"/>
          <w:highlight w:val="none"/>
          <w:shd w:val="pct10" w:color="auto" w:fill="FFFFFF"/>
        </w:rPr>
      </w:pPr>
      <w:r>
        <w:rPr>
          <w:rFonts w:hint="eastAsia" w:ascii="宋体" w:hAnsi="宋体" w:cs="宋体"/>
          <w:color w:val="auto"/>
          <w:spacing w:val="-30"/>
          <w:highlight w:val="none"/>
          <w:shd w:val="pct10" w:color="auto" w:fill="FFFFFF"/>
        </w:rPr>
        <w:t>加 盖 投 标 单 位 公章 及法定代表人或 其 法 定 代 表 人 委 托 代 理 人 签 字 或 盖 章</w:t>
      </w:r>
    </w:p>
    <w:tbl>
      <w:tblPr>
        <w:tblStyle w:val="42"/>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05" w:type="dxa"/>
            <w:noWrap w:val="0"/>
            <w:vAlign w:val="top"/>
          </w:tcPr>
          <w:p>
            <w:pPr>
              <w:jc w:val="center"/>
              <w:rPr>
                <w:rFonts w:hint="eastAsia" w:ascii="宋体" w:hAnsi="宋体" w:cs="宋体"/>
                <w:color w:val="auto"/>
                <w:spacing w:val="-30"/>
                <w:highlight w:val="none"/>
              </w:rPr>
            </w:pPr>
          </w:p>
        </w:tc>
      </w:tr>
    </w:tbl>
    <w:p>
      <w:pPr>
        <w:rPr>
          <w:rFonts w:hint="eastAsia" w:ascii="宋体" w:hAnsi="宋体" w:cs="宋体"/>
          <w:color w:val="auto"/>
          <w:highlight w:val="none"/>
        </w:rPr>
      </w:pPr>
    </w:p>
    <w:p>
      <w:pPr>
        <w:rPr>
          <w:rFonts w:hint="eastAsia" w:ascii="宋体" w:hAnsi="宋体" w:cs="宋体"/>
          <w:color w:val="auto"/>
          <w:highlight w:val="none"/>
        </w:rPr>
      </w:pPr>
    </w:p>
    <w:tbl>
      <w:tblPr>
        <w:tblStyle w:val="42"/>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9105" w:type="dxa"/>
            <w:noWrap w:val="0"/>
            <w:vAlign w:val="top"/>
          </w:tcPr>
          <w:p>
            <w:pPr>
              <w:rPr>
                <w:rFonts w:hint="eastAsia" w:ascii="宋体" w:hAnsi="宋体" w:cs="宋体"/>
                <w:color w:val="auto"/>
                <w:spacing w:val="-30"/>
                <w:highlight w:val="none"/>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9105" w:type="dxa"/>
            <w:noWrap w:val="0"/>
            <w:vAlign w:val="top"/>
          </w:tcPr>
          <w:p>
            <w:pPr>
              <w:rPr>
                <w:rFonts w:hint="eastAsia" w:ascii="宋体" w:hAnsi="宋体" w:cs="宋体"/>
                <w:color w:val="auto"/>
                <w:spacing w:val="-30"/>
                <w:highlight w:val="none"/>
              </w:rPr>
            </w:pPr>
          </w:p>
        </w:tc>
      </w:tr>
    </w:tbl>
    <w:p>
      <w:pPr>
        <w:spacing w:line="600" w:lineRule="exact"/>
        <w:jc w:val="center"/>
        <w:rPr>
          <w:rFonts w:hint="eastAsia" w:ascii="宋体" w:hAnsi="宋体" w:cs="宋体"/>
          <w:b/>
          <w:bCs/>
          <w:color w:val="auto"/>
          <w:spacing w:val="-30"/>
          <w:sz w:val="36"/>
          <w:szCs w:val="36"/>
          <w:highlight w:val="none"/>
        </w:rPr>
      </w:pPr>
      <w:r>
        <w:rPr>
          <w:rFonts w:hint="eastAsia" w:ascii="宋体" w:hAnsi="宋体" w:cs="宋体"/>
          <w:b/>
          <w:bCs/>
          <w:color w:val="auto"/>
          <w:spacing w:val="-30"/>
          <w:sz w:val="36"/>
          <w:szCs w:val="36"/>
          <w:highlight w:val="none"/>
          <w:lang w:eastAsia="zh-CN"/>
        </w:rPr>
        <w:t>2021年纯电动客车采购</w:t>
      </w:r>
      <w:r>
        <w:rPr>
          <w:rFonts w:hint="eastAsia" w:ascii="宋体" w:hAnsi="宋体" w:cs="宋体"/>
          <w:b/>
          <w:bCs/>
          <w:color w:val="auto"/>
          <w:spacing w:val="-30"/>
          <w:sz w:val="36"/>
          <w:szCs w:val="36"/>
          <w:highlight w:val="none"/>
        </w:rPr>
        <w:t>资信技术部分投标文件密封袋封条</w:t>
      </w:r>
    </w:p>
    <w:p>
      <w:pPr>
        <w:pStyle w:val="30"/>
        <w:spacing w:line="500" w:lineRule="exact"/>
        <w:ind w:firstLine="1395" w:firstLineChars="872"/>
        <w:rPr>
          <w:rFonts w:hint="eastAsia" w:ascii="宋体" w:hAnsi="宋体" w:cs="宋体"/>
          <w:color w:val="auto"/>
          <w:spacing w:val="-30"/>
          <w:highlight w:val="none"/>
          <w:shd w:val="pct10" w:color="auto" w:fill="FFFFFF"/>
        </w:rPr>
      </w:pPr>
      <w:r>
        <w:rPr>
          <w:rFonts w:hint="eastAsia" w:ascii="宋体" w:hAnsi="宋体" w:cs="宋体"/>
          <w:color w:val="auto"/>
          <w:spacing w:val="-30"/>
          <w:highlight w:val="none"/>
          <w:shd w:val="pct10" w:color="auto" w:fill="FFFFFF"/>
        </w:rPr>
        <w:t>加 盖 投 标 单 位 公 章 及 法 定 代 表 人 或 其 法 定 代 表 人 委 托 代 理 人 签 字 或 盖 章</w:t>
      </w:r>
    </w:p>
    <w:tbl>
      <w:tblPr>
        <w:tblStyle w:val="42"/>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05" w:type="dxa"/>
            <w:noWrap w:val="0"/>
            <w:vAlign w:val="top"/>
          </w:tcPr>
          <w:p>
            <w:pPr>
              <w:jc w:val="center"/>
              <w:rPr>
                <w:rFonts w:hint="eastAsia" w:ascii="宋体" w:hAnsi="宋体" w:cs="宋体"/>
                <w:color w:val="auto"/>
                <w:spacing w:val="-30"/>
                <w:highlight w:val="none"/>
              </w:rPr>
            </w:pPr>
          </w:p>
        </w:tc>
      </w:tr>
    </w:tbl>
    <w:p>
      <w:pPr>
        <w:pStyle w:val="30"/>
        <w:tabs>
          <w:tab w:val="left" w:pos="482"/>
          <w:tab w:val="left" w:pos="2183"/>
          <w:tab w:val="left" w:pos="3884"/>
          <w:tab w:val="left" w:pos="5585"/>
        </w:tabs>
        <w:rPr>
          <w:rFonts w:hint="eastAsia" w:ascii="宋体" w:hAnsi="宋体" w:cs="宋体"/>
          <w:color w:val="auto"/>
          <w:highlight w:val="none"/>
        </w:rPr>
      </w:pPr>
    </w:p>
    <w:p>
      <w:pPr>
        <w:rPr>
          <w:rFonts w:hint="eastAsia" w:ascii="宋体" w:hAnsi="宋体" w:cs="宋体"/>
          <w:b/>
          <w:bCs/>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pStyle w:val="24"/>
        <w:adjustRightInd w:val="0"/>
        <w:snapToGrid w:val="0"/>
        <w:spacing w:line="400" w:lineRule="exact"/>
        <w:rPr>
          <w:rFonts w:hint="eastAsia" w:hAnsi="宋体" w:cs="宋体"/>
          <w:color w:val="auto"/>
          <w:highlight w:val="none"/>
        </w:rPr>
      </w:pPr>
    </w:p>
    <w:p>
      <w:pPr>
        <w:jc w:val="center"/>
        <w:rPr>
          <w:rFonts w:hint="eastAsia" w:ascii="宋体" w:hAnsi="宋体" w:cs="宋体"/>
          <w:b/>
          <w:bCs/>
          <w:color w:val="auto"/>
          <w:sz w:val="44"/>
          <w:szCs w:val="44"/>
          <w:highlight w:val="none"/>
        </w:rPr>
      </w:pPr>
    </w:p>
    <w:p>
      <w:pPr>
        <w:jc w:val="center"/>
        <w:rPr>
          <w:rFonts w:hint="eastAsia" w:ascii="宋体" w:hAnsi="宋体" w:cs="宋体"/>
          <w:b/>
          <w:bCs/>
          <w:color w:val="auto"/>
          <w:sz w:val="44"/>
          <w:szCs w:val="44"/>
          <w:highlight w:val="none"/>
        </w:rPr>
      </w:pPr>
    </w:p>
    <w:p>
      <w:pPr>
        <w:pStyle w:val="21"/>
        <w:spacing w:before="120" w:after="120"/>
        <w:ind w:left="447" w:hanging="447"/>
        <w:rPr>
          <w:rFonts w:hint="eastAsia"/>
          <w:color w:val="auto"/>
          <w:highlight w:val="none"/>
        </w:rPr>
      </w:pPr>
    </w:p>
    <w:p>
      <w:pPr>
        <w:pStyle w:val="21"/>
        <w:spacing w:before="120" w:after="120"/>
        <w:ind w:left="447" w:hanging="447"/>
        <w:rPr>
          <w:rFonts w:hint="eastAsia"/>
          <w:color w:val="auto"/>
          <w:highlight w:val="none"/>
        </w:rPr>
      </w:pPr>
    </w:p>
    <w:p>
      <w:pPr>
        <w:pStyle w:val="21"/>
        <w:spacing w:before="120" w:after="120"/>
        <w:ind w:left="447" w:hanging="447"/>
        <w:rPr>
          <w:rFonts w:hint="eastAsia"/>
          <w:color w:val="auto"/>
          <w:highlight w:val="none"/>
        </w:rPr>
      </w:pPr>
    </w:p>
    <w:p>
      <w:pPr>
        <w:jc w:val="center"/>
        <w:rPr>
          <w:rFonts w:hint="eastAsia" w:ascii="宋体" w:hAnsi="宋体" w:cs="宋体"/>
          <w:b/>
          <w:bCs/>
          <w:color w:val="auto"/>
          <w:sz w:val="44"/>
          <w:szCs w:val="44"/>
          <w:highlight w:val="none"/>
        </w:rPr>
      </w:pPr>
    </w:p>
    <w:p>
      <w:pPr>
        <w:jc w:val="center"/>
        <w:rPr>
          <w:rFonts w:hint="eastAsia" w:ascii="宋体" w:hAnsi="宋体" w:cs="宋体"/>
          <w:b/>
          <w:bCs/>
          <w:color w:val="auto"/>
          <w:sz w:val="44"/>
          <w:szCs w:val="44"/>
          <w:highlight w:val="none"/>
        </w:rPr>
      </w:pPr>
      <w:r>
        <w:rPr>
          <w:rFonts w:ascii="宋体" w:hAnsi="宋体" w:cs="宋体"/>
          <w:b/>
          <w:bCs/>
          <w:color w:val="auto"/>
          <w:sz w:val="44"/>
          <w:szCs w:val="44"/>
          <w:highlight w:val="none"/>
        </w:rPr>
        <w:br w:type="page"/>
      </w:r>
      <w:r>
        <w:rPr>
          <w:rFonts w:hint="eastAsia" w:ascii="宋体" w:hAnsi="宋体" w:cs="宋体"/>
          <w:b/>
          <w:bCs/>
          <w:color w:val="auto"/>
          <w:sz w:val="44"/>
          <w:szCs w:val="44"/>
          <w:highlight w:val="none"/>
        </w:rPr>
        <w:t>质疑函范本</w:t>
      </w:r>
    </w:p>
    <w:p>
      <w:pPr>
        <w:adjustRightInd w:val="0"/>
        <w:snapToGrid w:val="0"/>
        <w:spacing w:before="240" w:beforeLines="100" w:line="360" w:lineRule="auto"/>
        <w:rPr>
          <w:rFonts w:hint="eastAsia" w:ascii="宋体" w:hAnsi="宋体" w:cs="宋体"/>
          <w:bCs/>
          <w:color w:val="auto"/>
          <w:szCs w:val="22"/>
          <w:highlight w:val="none"/>
        </w:rPr>
      </w:pPr>
      <w:r>
        <w:rPr>
          <w:rFonts w:hint="eastAsia" w:ascii="宋体" w:hAnsi="宋体" w:cs="宋体"/>
          <w:bCs/>
          <w:color w:val="auto"/>
          <w:szCs w:val="22"/>
          <w:highlight w:val="none"/>
        </w:rPr>
        <w:t>一、质疑供应商基本信息</w:t>
      </w:r>
    </w:p>
    <w:p>
      <w:pPr>
        <w:adjustRightInd w:val="0"/>
        <w:snapToGrid w:val="0"/>
        <w:spacing w:line="360" w:lineRule="auto"/>
        <w:rPr>
          <w:rFonts w:hint="eastAsia" w:ascii="宋体" w:hAnsi="宋体" w:cs="宋体"/>
          <w:color w:val="auto"/>
          <w:szCs w:val="22"/>
          <w:highlight w:val="none"/>
          <w:u w:val="dotted"/>
        </w:rPr>
      </w:pPr>
      <w:r>
        <w:rPr>
          <w:rFonts w:hint="eastAsia" w:ascii="宋体" w:hAnsi="宋体" w:cs="宋体"/>
          <w:color w:val="auto"/>
          <w:szCs w:val="22"/>
          <w:highlight w:val="none"/>
        </w:rPr>
        <w:t>质疑供应商：</w:t>
      </w:r>
      <w:r>
        <w:rPr>
          <w:rFonts w:hint="eastAsia" w:ascii="宋体" w:hAnsi="宋体" w:cs="宋体"/>
          <w:color w:val="auto"/>
          <w:szCs w:val="22"/>
          <w:highlight w:val="none"/>
          <w:u w:val="dotted"/>
        </w:rPr>
        <w:t xml:space="preserve">                                        </w:t>
      </w:r>
    </w:p>
    <w:p>
      <w:pPr>
        <w:adjustRightInd w:val="0"/>
        <w:snapToGrid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地址：</w:t>
      </w:r>
      <w:r>
        <w:rPr>
          <w:rFonts w:hint="eastAsia" w:ascii="宋体" w:hAnsi="宋体" w:cs="宋体"/>
          <w:color w:val="auto"/>
          <w:szCs w:val="22"/>
          <w:highlight w:val="none"/>
          <w:u w:val="dotted"/>
        </w:rPr>
        <w:t xml:space="preserve">                          </w:t>
      </w:r>
      <w:r>
        <w:rPr>
          <w:rFonts w:hint="eastAsia" w:ascii="宋体" w:hAnsi="宋体" w:cs="宋体"/>
          <w:color w:val="auto"/>
          <w:szCs w:val="22"/>
          <w:highlight w:val="none"/>
        </w:rPr>
        <w:t>邮编：</w:t>
      </w:r>
      <w:r>
        <w:rPr>
          <w:rFonts w:hint="eastAsia" w:ascii="宋体" w:hAnsi="宋体" w:cs="宋体"/>
          <w:color w:val="auto"/>
          <w:szCs w:val="22"/>
          <w:highlight w:val="none"/>
          <w:u w:val="dotted"/>
        </w:rPr>
        <w:t xml:space="preserve">                                                   </w:t>
      </w:r>
    </w:p>
    <w:p>
      <w:pPr>
        <w:adjustRightInd w:val="0"/>
        <w:snapToGrid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联系人：</w:t>
      </w:r>
      <w:r>
        <w:rPr>
          <w:rFonts w:hint="eastAsia" w:ascii="宋体" w:hAnsi="宋体" w:cs="宋体"/>
          <w:color w:val="auto"/>
          <w:szCs w:val="22"/>
          <w:highlight w:val="none"/>
          <w:u w:val="dotted"/>
        </w:rPr>
        <w:t xml:space="preserve">                      </w:t>
      </w:r>
      <w:r>
        <w:rPr>
          <w:rFonts w:hint="eastAsia" w:ascii="宋体" w:hAnsi="宋体" w:cs="宋体"/>
          <w:color w:val="auto"/>
          <w:szCs w:val="22"/>
          <w:highlight w:val="none"/>
        </w:rPr>
        <w:t>联系电话：</w:t>
      </w:r>
      <w:r>
        <w:rPr>
          <w:rFonts w:hint="eastAsia" w:ascii="宋体" w:hAnsi="宋体" w:cs="宋体"/>
          <w:color w:val="auto"/>
          <w:szCs w:val="22"/>
          <w:highlight w:val="none"/>
          <w:u w:val="dotted"/>
        </w:rPr>
        <w:t xml:space="preserve">                              </w:t>
      </w:r>
    </w:p>
    <w:p>
      <w:pPr>
        <w:adjustRightInd w:val="0"/>
        <w:snapToGrid w:val="0"/>
        <w:spacing w:line="360" w:lineRule="auto"/>
        <w:rPr>
          <w:rFonts w:hint="eastAsia" w:ascii="宋体" w:hAnsi="宋体" w:cs="宋体"/>
          <w:color w:val="auto"/>
          <w:szCs w:val="22"/>
          <w:highlight w:val="none"/>
          <w:u w:val="dotted"/>
        </w:rPr>
      </w:pPr>
      <w:r>
        <w:rPr>
          <w:rFonts w:hint="eastAsia" w:ascii="宋体" w:hAnsi="宋体" w:cs="宋体"/>
          <w:color w:val="auto"/>
          <w:szCs w:val="22"/>
          <w:highlight w:val="none"/>
        </w:rPr>
        <w:t>授权代表：</w:t>
      </w:r>
      <w:r>
        <w:rPr>
          <w:rFonts w:hint="eastAsia" w:ascii="宋体" w:hAnsi="宋体" w:cs="宋体"/>
          <w:color w:val="auto"/>
          <w:szCs w:val="22"/>
          <w:highlight w:val="none"/>
          <w:u w:val="dotted"/>
        </w:rPr>
        <w:t xml:space="preserve">                                          </w:t>
      </w:r>
    </w:p>
    <w:p>
      <w:pPr>
        <w:adjustRightInd w:val="0"/>
        <w:snapToGrid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联系电话：</w:t>
      </w:r>
      <w:r>
        <w:rPr>
          <w:rFonts w:hint="eastAsia" w:ascii="宋体" w:hAnsi="宋体" w:cs="宋体"/>
          <w:color w:val="auto"/>
          <w:szCs w:val="22"/>
          <w:highlight w:val="none"/>
          <w:u w:val="dotted"/>
        </w:rPr>
        <w:t xml:space="preserve">                                           </w:t>
      </w:r>
      <w:r>
        <w:rPr>
          <w:rFonts w:hint="eastAsia" w:ascii="宋体" w:hAnsi="宋体" w:cs="宋体"/>
          <w:color w:val="auto"/>
          <w:szCs w:val="22"/>
          <w:highlight w:val="none"/>
        </w:rPr>
        <w:t xml:space="preserve"> </w:t>
      </w:r>
    </w:p>
    <w:p>
      <w:pPr>
        <w:adjustRightInd w:val="0"/>
        <w:snapToGrid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 xml:space="preserve">地址： </w:t>
      </w:r>
      <w:r>
        <w:rPr>
          <w:rFonts w:hint="eastAsia" w:ascii="宋体" w:hAnsi="宋体" w:cs="宋体"/>
          <w:color w:val="auto"/>
          <w:szCs w:val="22"/>
          <w:highlight w:val="none"/>
          <w:u w:val="dotted"/>
        </w:rPr>
        <w:t xml:space="preserve">                        </w:t>
      </w:r>
      <w:r>
        <w:rPr>
          <w:rFonts w:hint="eastAsia" w:ascii="宋体" w:hAnsi="宋体" w:cs="宋体"/>
          <w:color w:val="auto"/>
          <w:szCs w:val="22"/>
          <w:highlight w:val="none"/>
        </w:rPr>
        <w:t>邮编：</w:t>
      </w:r>
      <w:r>
        <w:rPr>
          <w:rFonts w:hint="eastAsia" w:ascii="宋体" w:hAnsi="宋体" w:cs="宋体"/>
          <w:color w:val="auto"/>
          <w:szCs w:val="22"/>
          <w:highlight w:val="none"/>
          <w:u w:val="dotted"/>
        </w:rPr>
        <w:t xml:space="preserve">                                                </w:t>
      </w:r>
    </w:p>
    <w:p>
      <w:pPr>
        <w:adjustRightInd w:val="0"/>
        <w:snapToGrid w:val="0"/>
        <w:spacing w:line="360" w:lineRule="auto"/>
        <w:rPr>
          <w:rFonts w:hint="eastAsia" w:ascii="宋体" w:hAnsi="宋体" w:cs="宋体"/>
          <w:bCs/>
          <w:color w:val="auto"/>
          <w:szCs w:val="22"/>
          <w:highlight w:val="none"/>
        </w:rPr>
      </w:pPr>
      <w:r>
        <w:rPr>
          <w:rFonts w:hint="eastAsia" w:ascii="宋体" w:hAnsi="宋体" w:cs="宋体"/>
          <w:bCs/>
          <w:color w:val="auto"/>
          <w:szCs w:val="22"/>
          <w:highlight w:val="none"/>
        </w:rPr>
        <w:t>二、质疑项目基本情况</w:t>
      </w:r>
    </w:p>
    <w:p>
      <w:pPr>
        <w:adjustRightInd w:val="0"/>
        <w:snapToGrid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质疑项目的名称：</w:t>
      </w:r>
      <w:r>
        <w:rPr>
          <w:rFonts w:hint="eastAsia" w:ascii="宋体" w:hAnsi="宋体" w:cs="宋体"/>
          <w:color w:val="auto"/>
          <w:szCs w:val="22"/>
          <w:highlight w:val="none"/>
          <w:u w:val="dotted"/>
        </w:rPr>
        <w:t xml:space="preserve">                                      </w:t>
      </w:r>
    </w:p>
    <w:p>
      <w:pPr>
        <w:adjustRightInd w:val="0"/>
        <w:snapToGrid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质疑项目的编号：</w:t>
      </w:r>
      <w:r>
        <w:rPr>
          <w:rFonts w:hint="eastAsia" w:ascii="宋体" w:hAnsi="宋体" w:cs="宋体"/>
          <w:color w:val="auto"/>
          <w:szCs w:val="22"/>
          <w:highlight w:val="none"/>
          <w:u w:val="dotted"/>
        </w:rPr>
        <w:t xml:space="preserve">               </w:t>
      </w:r>
      <w:r>
        <w:rPr>
          <w:rFonts w:hint="eastAsia" w:ascii="宋体" w:hAnsi="宋体" w:cs="宋体"/>
          <w:color w:val="auto"/>
          <w:szCs w:val="22"/>
          <w:highlight w:val="none"/>
        </w:rPr>
        <w:t>包号：</w:t>
      </w:r>
      <w:r>
        <w:rPr>
          <w:rFonts w:hint="eastAsia" w:ascii="宋体" w:hAnsi="宋体" w:cs="宋体"/>
          <w:color w:val="auto"/>
          <w:szCs w:val="22"/>
          <w:highlight w:val="none"/>
          <w:u w:val="dotted"/>
        </w:rPr>
        <w:t xml:space="preserve">                 </w:t>
      </w:r>
    </w:p>
    <w:p>
      <w:pPr>
        <w:adjustRightInd w:val="0"/>
        <w:snapToGrid w:val="0"/>
        <w:spacing w:line="360" w:lineRule="auto"/>
        <w:rPr>
          <w:rFonts w:hint="eastAsia" w:ascii="宋体" w:hAnsi="宋体" w:cs="宋体"/>
          <w:color w:val="auto"/>
          <w:szCs w:val="22"/>
          <w:highlight w:val="none"/>
          <w:u w:val="dotted"/>
        </w:rPr>
      </w:pPr>
      <w:r>
        <w:rPr>
          <w:rFonts w:hint="eastAsia" w:ascii="宋体" w:hAnsi="宋体" w:cs="宋体"/>
          <w:color w:val="auto"/>
          <w:szCs w:val="22"/>
          <w:highlight w:val="none"/>
        </w:rPr>
        <w:t>采购人名称：</w:t>
      </w:r>
      <w:r>
        <w:rPr>
          <w:rFonts w:hint="eastAsia" w:ascii="宋体" w:hAnsi="宋体" w:cs="宋体"/>
          <w:color w:val="auto"/>
          <w:szCs w:val="22"/>
          <w:highlight w:val="none"/>
          <w:u w:val="dotted"/>
        </w:rPr>
        <w:t xml:space="preserve">                                         </w:t>
      </w:r>
    </w:p>
    <w:p>
      <w:pPr>
        <w:adjustRightInd w:val="0"/>
        <w:snapToGrid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采购文件获取日期：</w:t>
      </w:r>
      <w:r>
        <w:rPr>
          <w:rFonts w:hint="eastAsia" w:ascii="宋体" w:hAnsi="宋体" w:cs="宋体"/>
          <w:color w:val="auto"/>
          <w:szCs w:val="22"/>
          <w:highlight w:val="none"/>
          <w:u w:val="dotted"/>
        </w:rPr>
        <w:t xml:space="preserve">                                           </w:t>
      </w:r>
    </w:p>
    <w:p>
      <w:pPr>
        <w:adjustRightInd w:val="0"/>
        <w:snapToGrid w:val="0"/>
        <w:spacing w:line="360" w:lineRule="auto"/>
        <w:rPr>
          <w:rFonts w:hint="eastAsia" w:ascii="宋体" w:hAnsi="宋体" w:cs="宋体"/>
          <w:bCs/>
          <w:color w:val="auto"/>
          <w:szCs w:val="22"/>
          <w:highlight w:val="none"/>
        </w:rPr>
      </w:pPr>
      <w:r>
        <w:rPr>
          <w:rFonts w:hint="eastAsia" w:ascii="宋体" w:hAnsi="宋体" w:cs="宋体"/>
          <w:bCs/>
          <w:color w:val="auto"/>
          <w:szCs w:val="22"/>
          <w:highlight w:val="none"/>
        </w:rPr>
        <w:t>三、质疑事项具体内容</w:t>
      </w:r>
    </w:p>
    <w:p>
      <w:pPr>
        <w:adjustRightInd w:val="0"/>
        <w:snapToGrid w:val="0"/>
        <w:spacing w:line="360" w:lineRule="auto"/>
        <w:rPr>
          <w:rFonts w:hint="eastAsia" w:ascii="宋体" w:hAnsi="宋体" w:cs="宋体"/>
          <w:color w:val="auto"/>
          <w:szCs w:val="22"/>
          <w:highlight w:val="none"/>
          <w:u w:val="dotted"/>
        </w:rPr>
      </w:pPr>
      <w:r>
        <w:rPr>
          <w:rFonts w:hint="eastAsia" w:ascii="宋体" w:hAnsi="宋体" w:cs="宋体"/>
          <w:color w:val="auto"/>
          <w:szCs w:val="22"/>
          <w:highlight w:val="none"/>
        </w:rPr>
        <w:t>质疑事项1：</w:t>
      </w:r>
      <w:r>
        <w:rPr>
          <w:rFonts w:hint="eastAsia" w:ascii="宋体" w:hAnsi="宋体" w:cs="宋体"/>
          <w:color w:val="auto"/>
          <w:szCs w:val="22"/>
          <w:highlight w:val="none"/>
          <w:u w:val="dotted"/>
        </w:rPr>
        <w:t xml:space="preserve">                                         </w:t>
      </w:r>
    </w:p>
    <w:p>
      <w:pPr>
        <w:adjustRightInd w:val="0"/>
        <w:snapToGrid w:val="0"/>
        <w:spacing w:line="360" w:lineRule="auto"/>
        <w:rPr>
          <w:rFonts w:hint="eastAsia" w:ascii="宋体" w:hAnsi="宋体" w:cs="宋体"/>
          <w:color w:val="auto"/>
          <w:szCs w:val="22"/>
          <w:highlight w:val="none"/>
          <w:u w:val="dotted"/>
        </w:rPr>
      </w:pPr>
      <w:r>
        <w:rPr>
          <w:rFonts w:hint="eastAsia" w:ascii="宋体" w:hAnsi="宋体" w:cs="宋体"/>
          <w:color w:val="auto"/>
          <w:szCs w:val="22"/>
          <w:highlight w:val="none"/>
        </w:rPr>
        <w:t>事实依据：</w:t>
      </w:r>
      <w:r>
        <w:rPr>
          <w:rFonts w:hint="eastAsia" w:ascii="宋体" w:hAnsi="宋体" w:cs="宋体"/>
          <w:color w:val="auto"/>
          <w:szCs w:val="22"/>
          <w:highlight w:val="none"/>
          <w:u w:val="dotted"/>
        </w:rPr>
        <w:t xml:space="preserve">                                          </w:t>
      </w:r>
    </w:p>
    <w:p>
      <w:pPr>
        <w:adjustRightInd w:val="0"/>
        <w:snapToGrid w:val="0"/>
        <w:spacing w:line="360" w:lineRule="auto"/>
        <w:rPr>
          <w:rFonts w:hint="eastAsia" w:ascii="宋体" w:hAnsi="宋体" w:cs="宋体"/>
          <w:color w:val="auto"/>
          <w:szCs w:val="22"/>
          <w:highlight w:val="none"/>
        </w:rPr>
      </w:pPr>
      <w:r>
        <w:rPr>
          <w:rFonts w:hint="eastAsia" w:ascii="宋体" w:hAnsi="宋体" w:cs="宋体"/>
          <w:color w:val="auto"/>
          <w:szCs w:val="22"/>
          <w:highlight w:val="none"/>
          <w:u w:val="dotted"/>
        </w:rPr>
        <w:t xml:space="preserve">                                                       </w:t>
      </w:r>
    </w:p>
    <w:p>
      <w:pPr>
        <w:adjustRightInd w:val="0"/>
        <w:snapToGrid w:val="0"/>
        <w:spacing w:line="360" w:lineRule="auto"/>
        <w:rPr>
          <w:rFonts w:hint="eastAsia" w:ascii="宋体" w:hAnsi="宋体" w:cs="宋体"/>
          <w:color w:val="auto"/>
          <w:szCs w:val="22"/>
          <w:highlight w:val="none"/>
          <w:u w:val="dotted"/>
        </w:rPr>
      </w:pPr>
      <w:r>
        <w:rPr>
          <w:rFonts w:hint="eastAsia" w:ascii="宋体" w:hAnsi="宋体" w:cs="宋体"/>
          <w:color w:val="auto"/>
          <w:szCs w:val="22"/>
          <w:highlight w:val="none"/>
        </w:rPr>
        <w:t>法律依据：</w:t>
      </w:r>
      <w:r>
        <w:rPr>
          <w:rFonts w:hint="eastAsia" w:ascii="宋体" w:hAnsi="宋体" w:cs="宋体"/>
          <w:color w:val="auto"/>
          <w:szCs w:val="22"/>
          <w:highlight w:val="none"/>
          <w:u w:val="dotted"/>
        </w:rPr>
        <w:t xml:space="preserve">                                          </w:t>
      </w:r>
    </w:p>
    <w:p>
      <w:pPr>
        <w:adjustRightInd w:val="0"/>
        <w:snapToGrid w:val="0"/>
        <w:spacing w:line="360" w:lineRule="auto"/>
        <w:rPr>
          <w:rFonts w:hint="eastAsia" w:ascii="宋体" w:hAnsi="宋体" w:cs="宋体"/>
          <w:color w:val="auto"/>
          <w:szCs w:val="22"/>
          <w:highlight w:val="none"/>
          <w:u w:val="dotted"/>
        </w:rPr>
      </w:pPr>
      <w:r>
        <w:rPr>
          <w:rFonts w:hint="eastAsia" w:ascii="宋体" w:hAnsi="宋体" w:cs="宋体"/>
          <w:color w:val="auto"/>
          <w:szCs w:val="22"/>
          <w:highlight w:val="none"/>
          <w:u w:val="dotted"/>
        </w:rPr>
        <w:t xml:space="preserve">                                                     </w:t>
      </w:r>
    </w:p>
    <w:p>
      <w:pPr>
        <w:adjustRightInd w:val="0"/>
        <w:snapToGrid w:val="0"/>
        <w:spacing w:line="360" w:lineRule="auto"/>
        <w:rPr>
          <w:rFonts w:hint="eastAsia" w:ascii="宋体" w:hAnsi="宋体" w:cs="宋体"/>
          <w:color w:val="auto"/>
          <w:szCs w:val="22"/>
          <w:highlight w:val="none"/>
          <w:u w:val="dotted"/>
        </w:rPr>
      </w:pPr>
      <w:r>
        <w:rPr>
          <w:rFonts w:hint="eastAsia" w:ascii="宋体" w:hAnsi="宋体" w:cs="宋体"/>
          <w:color w:val="auto"/>
          <w:szCs w:val="22"/>
          <w:highlight w:val="none"/>
        </w:rPr>
        <w:t>质疑事项2</w:t>
      </w:r>
    </w:p>
    <w:p>
      <w:pPr>
        <w:adjustRightInd w:val="0"/>
        <w:snapToGrid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w:t>
      </w:r>
    </w:p>
    <w:p>
      <w:pPr>
        <w:adjustRightInd w:val="0"/>
        <w:snapToGrid w:val="0"/>
        <w:spacing w:line="360" w:lineRule="auto"/>
        <w:rPr>
          <w:rFonts w:hint="eastAsia" w:ascii="宋体" w:hAnsi="宋体" w:cs="宋体"/>
          <w:color w:val="auto"/>
          <w:szCs w:val="22"/>
          <w:highlight w:val="none"/>
        </w:rPr>
      </w:pPr>
    </w:p>
    <w:p>
      <w:pPr>
        <w:adjustRightInd w:val="0"/>
        <w:snapToGrid w:val="0"/>
        <w:spacing w:line="360" w:lineRule="auto"/>
        <w:rPr>
          <w:rFonts w:hint="eastAsia" w:ascii="宋体" w:hAnsi="宋体" w:cs="宋体"/>
          <w:bCs/>
          <w:color w:val="auto"/>
          <w:szCs w:val="22"/>
          <w:highlight w:val="none"/>
        </w:rPr>
      </w:pPr>
      <w:r>
        <w:rPr>
          <w:rFonts w:hint="eastAsia" w:ascii="宋体" w:hAnsi="宋体" w:cs="宋体"/>
          <w:bCs/>
          <w:color w:val="auto"/>
          <w:szCs w:val="22"/>
          <w:highlight w:val="none"/>
        </w:rPr>
        <w:t>四、与质疑事项相关的质疑请求</w:t>
      </w:r>
    </w:p>
    <w:p>
      <w:pPr>
        <w:adjustRightInd w:val="0"/>
        <w:snapToGrid w:val="0"/>
        <w:spacing w:line="360" w:lineRule="auto"/>
        <w:rPr>
          <w:rFonts w:hint="eastAsia" w:ascii="宋体" w:hAnsi="宋体" w:cs="宋体"/>
          <w:color w:val="auto"/>
          <w:szCs w:val="22"/>
          <w:highlight w:val="none"/>
          <w:u w:val="dotted"/>
        </w:rPr>
      </w:pPr>
      <w:r>
        <w:rPr>
          <w:rFonts w:hint="eastAsia" w:ascii="宋体" w:hAnsi="宋体" w:cs="宋体"/>
          <w:color w:val="auto"/>
          <w:szCs w:val="22"/>
          <w:highlight w:val="none"/>
        </w:rPr>
        <w:t>请求：</w:t>
      </w:r>
      <w:r>
        <w:rPr>
          <w:rFonts w:hint="eastAsia" w:ascii="宋体" w:hAnsi="宋体" w:cs="宋体"/>
          <w:color w:val="auto"/>
          <w:szCs w:val="22"/>
          <w:highlight w:val="none"/>
          <w:u w:val="dotted"/>
        </w:rPr>
        <w:t xml:space="preserve">                                               </w:t>
      </w:r>
    </w:p>
    <w:p>
      <w:pPr>
        <w:spacing w:line="360" w:lineRule="auto"/>
        <w:rPr>
          <w:rFonts w:hint="eastAsia" w:ascii="宋体" w:hAnsi="宋体" w:cs="宋体"/>
          <w:color w:val="auto"/>
          <w:szCs w:val="22"/>
          <w:highlight w:val="none"/>
        </w:rPr>
      </w:pPr>
      <w:r>
        <w:rPr>
          <w:rFonts w:hint="eastAsia" w:ascii="宋体" w:hAnsi="宋体" w:cs="宋体"/>
          <w:color w:val="auto"/>
          <w:szCs w:val="22"/>
          <w:highlight w:val="none"/>
        </w:rPr>
        <w:t xml:space="preserve">签字(签章)：                   公章：                      </w:t>
      </w:r>
    </w:p>
    <w:p>
      <w:pPr>
        <w:spacing w:line="360" w:lineRule="auto"/>
        <w:rPr>
          <w:rFonts w:hint="eastAsia" w:ascii="宋体" w:hAnsi="宋体" w:cs="宋体"/>
          <w:color w:val="auto"/>
          <w:szCs w:val="22"/>
          <w:highlight w:val="none"/>
        </w:rPr>
      </w:pPr>
      <w:r>
        <w:rPr>
          <w:rFonts w:hint="eastAsia" w:ascii="宋体" w:hAnsi="宋体" w:cs="宋体"/>
          <w:color w:val="auto"/>
          <w:szCs w:val="22"/>
          <w:highlight w:val="none"/>
        </w:rPr>
        <w:t>日期：</w:t>
      </w:r>
    </w:p>
    <w:p>
      <w:pPr>
        <w:pStyle w:val="21"/>
        <w:spacing w:before="120" w:after="120"/>
        <w:ind w:left="447" w:hanging="447"/>
        <w:rPr>
          <w:rFonts w:hint="eastAsia"/>
          <w:color w:val="auto"/>
          <w:highlight w:val="none"/>
        </w:rPr>
      </w:pPr>
    </w:p>
    <w:p>
      <w:pPr>
        <w:spacing w:line="360" w:lineRule="auto"/>
        <w:rPr>
          <w:rFonts w:hint="eastAsia" w:ascii="宋体" w:hAnsi="宋体" w:cs="宋体"/>
          <w:b/>
          <w:color w:val="auto"/>
          <w:szCs w:val="22"/>
          <w:highlight w:val="none"/>
        </w:rPr>
      </w:pPr>
      <w:r>
        <w:rPr>
          <w:rFonts w:ascii="宋体" w:hAnsi="宋体" w:cs="宋体"/>
          <w:b/>
          <w:color w:val="auto"/>
          <w:szCs w:val="22"/>
          <w:highlight w:val="none"/>
        </w:rPr>
        <w:br w:type="page"/>
      </w:r>
      <w:r>
        <w:rPr>
          <w:rFonts w:hint="eastAsia" w:ascii="宋体" w:hAnsi="宋体" w:cs="宋体"/>
          <w:b/>
          <w:color w:val="auto"/>
          <w:szCs w:val="22"/>
          <w:highlight w:val="none"/>
        </w:rPr>
        <w:t>质疑函制作说明：</w:t>
      </w:r>
    </w:p>
    <w:p>
      <w:pPr>
        <w:widowControl/>
        <w:spacing w:line="360" w:lineRule="auto"/>
        <w:ind w:firstLine="440" w:firstLineChars="200"/>
        <w:jc w:val="left"/>
        <w:rPr>
          <w:rFonts w:hint="eastAsia" w:ascii="宋体" w:hAnsi="宋体" w:cs="宋体"/>
          <w:color w:val="auto"/>
          <w:szCs w:val="22"/>
          <w:highlight w:val="none"/>
        </w:rPr>
      </w:pPr>
      <w:r>
        <w:rPr>
          <w:rFonts w:hint="eastAsia" w:ascii="宋体" w:hAnsi="宋体" w:cs="宋体"/>
          <w:color w:val="auto"/>
          <w:szCs w:val="22"/>
          <w:highlight w:val="none"/>
        </w:rPr>
        <w:t>1.供应商提出质疑时，应提交质疑函和必要的证明材料。</w:t>
      </w:r>
    </w:p>
    <w:p>
      <w:pPr>
        <w:widowControl/>
        <w:spacing w:line="360" w:lineRule="auto"/>
        <w:ind w:firstLine="440" w:firstLineChars="200"/>
        <w:jc w:val="left"/>
        <w:rPr>
          <w:rFonts w:hint="eastAsia" w:ascii="宋体" w:hAnsi="宋体" w:cs="宋体"/>
          <w:color w:val="auto"/>
          <w:szCs w:val="22"/>
          <w:highlight w:val="none"/>
        </w:rPr>
      </w:pPr>
      <w:r>
        <w:rPr>
          <w:rFonts w:hint="eastAsia" w:ascii="宋体" w:hAnsi="宋体" w:cs="宋体"/>
          <w:color w:val="auto"/>
          <w:szCs w:val="22"/>
          <w:highlight w:val="none"/>
        </w:rPr>
        <w:t>2.质疑供应商若委托代理人进行质疑的，质疑函应按要求列明“授权代表”的有关内容，并在附件中提交由质疑</w:t>
      </w:r>
      <w:r>
        <w:rPr>
          <w:rFonts w:hint="eastAsia" w:ascii="宋体" w:hAnsi="宋体" w:cs="宋体"/>
          <w:color w:val="auto"/>
          <w:kern w:val="0"/>
          <w:szCs w:val="22"/>
          <w:highlight w:val="none"/>
        </w:rPr>
        <w:t>供应商签署的授权委托书。授权委托书应载明代理人的姓名或者名称、代理事项、具体权限、期限和相关事项。</w:t>
      </w:r>
    </w:p>
    <w:p>
      <w:pPr>
        <w:widowControl/>
        <w:spacing w:line="360" w:lineRule="auto"/>
        <w:ind w:firstLine="440" w:firstLineChars="200"/>
        <w:jc w:val="left"/>
        <w:rPr>
          <w:rFonts w:hint="eastAsia" w:ascii="宋体" w:hAnsi="宋体" w:cs="宋体"/>
          <w:color w:val="auto"/>
          <w:szCs w:val="22"/>
          <w:highlight w:val="none"/>
        </w:rPr>
      </w:pPr>
      <w:r>
        <w:rPr>
          <w:rFonts w:hint="eastAsia" w:ascii="宋体" w:hAnsi="宋体" w:cs="宋体"/>
          <w:color w:val="auto"/>
          <w:szCs w:val="22"/>
          <w:highlight w:val="none"/>
        </w:rPr>
        <w:t>3.质疑供应商若对项目的某一分包进行质疑，质疑函中应列明具体分包号。</w:t>
      </w:r>
    </w:p>
    <w:p>
      <w:pPr>
        <w:widowControl/>
        <w:spacing w:line="360" w:lineRule="auto"/>
        <w:ind w:firstLine="440" w:firstLineChars="200"/>
        <w:jc w:val="left"/>
        <w:rPr>
          <w:rFonts w:hint="eastAsia" w:ascii="宋体" w:hAnsi="宋体" w:cs="宋体"/>
          <w:color w:val="auto"/>
          <w:szCs w:val="22"/>
          <w:highlight w:val="none"/>
        </w:rPr>
      </w:pPr>
      <w:r>
        <w:rPr>
          <w:rFonts w:hint="eastAsia" w:ascii="宋体" w:hAnsi="宋体" w:cs="宋体"/>
          <w:color w:val="auto"/>
          <w:szCs w:val="22"/>
          <w:highlight w:val="none"/>
        </w:rPr>
        <w:t>4.质疑函的质疑事项应具体、明确，并有必要的事实依据和法律依据。</w:t>
      </w:r>
    </w:p>
    <w:p>
      <w:pPr>
        <w:widowControl/>
        <w:spacing w:line="360" w:lineRule="auto"/>
        <w:ind w:firstLine="440" w:firstLineChars="200"/>
        <w:jc w:val="left"/>
        <w:rPr>
          <w:rFonts w:hint="eastAsia" w:ascii="宋体" w:hAnsi="宋体" w:cs="宋体"/>
          <w:color w:val="auto"/>
          <w:szCs w:val="22"/>
          <w:highlight w:val="none"/>
        </w:rPr>
      </w:pPr>
      <w:r>
        <w:rPr>
          <w:rFonts w:hint="eastAsia" w:ascii="宋体" w:hAnsi="宋体" w:cs="宋体"/>
          <w:color w:val="auto"/>
          <w:szCs w:val="22"/>
          <w:highlight w:val="none"/>
        </w:rPr>
        <w:t>5.质疑函的质疑请求应与质疑事项相关。</w:t>
      </w:r>
    </w:p>
    <w:p>
      <w:pPr>
        <w:widowControl/>
        <w:spacing w:line="360" w:lineRule="auto"/>
        <w:ind w:firstLine="440" w:firstLineChars="200"/>
        <w:jc w:val="left"/>
        <w:rPr>
          <w:rFonts w:hint="eastAsia" w:ascii="宋体" w:hAnsi="宋体" w:cs="宋体"/>
          <w:color w:val="auto"/>
          <w:szCs w:val="22"/>
          <w:highlight w:val="none"/>
        </w:rPr>
      </w:pPr>
      <w:r>
        <w:rPr>
          <w:rFonts w:hint="eastAsia" w:ascii="宋体" w:hAnsi="宋体" w:cs="宋体"/>
          <w:color w:val="auto"/>
          <w:szCs w:val="22"/>
          <w:highlight w:val="none"/>
        </w:rPr>
        <w:t>6.质疑供应商为自然人的，质疑函应由本人签字；质疑供应商为法人或者其他组织的，质疑函应由法定代表人、主要负责人，或者其授权代表签字或者盖章，并加盖公章。</w:t>
      </w:r>
    </w:p>
    <w:p>
      <w:pPr>
        <w:pStyle w:val="24"/>
        <w:adjustRightInd w:val="0"/>
        <w:snapToGrid w:val="0"/>
        <w:spacing w:line="360" w:lineRule="auto"/>
        <w:ind w:firstLine="420" w:firstLineChars="200"/>
        <w:rPr>
          <w:rFonts w:hint="eastAsia" w:hAnsi="宋体" w:cs="宋体"/>
          <w:color w:val="auto"/>
          <w:szCs w:val="22"/>
          <w:highlight w:val="none"/>
        </w:rPr>
      </w:pPr>
    </w:p>
    <w:sectPr>
      <w:footerReference r:id="rId10" w:type="first"/>
      <w:headerReference r:id="rId7" w:type="default"/>
      <w:footerReference r:id="rId8" w:type="default"/>
      <w:footerReference r:id="rId9" w:type="even"/>
      <w:pgSz w:w="11907" w:h="16840"/>
      <w:pgMar w:top="1134" w:right="1021" w:bottom="1134" w:left="1021"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4</w:t>
    </w:r>
    <w:r>
      <w:fldChar w:fldCharType="end"/>
    </w:r>
  </w:p>
  <w:p>
    <w:pPr>
      <w:pStyle w:val="28"/>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8"/>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LPblK3NAQAAlwMAAA4AAAAAAAAAAQAgAAAAHwEAAGRycy9l&#10;Mm9Eb2MueG1sUEsFBgAAAAAGAAYAWQEAAF4FAAAAAA==&#10;">
              <v:fill on="f" focussize="0,0"/>
              <v:stroke on="f"/>
              <v:imagedata o:title=""/>
              <o:lock v:ext="edit" aspectratio="f"/>
              <v:textbox inset="0mm,0mm,0mm,0mm" style="mso-fit-shape-to-text:t;">
                <w:txbxContent>
                  <w:p>
                    <w:pPr>
                      <w:pStyle w:val="28"/>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8"/>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dGjg7OAQAAlw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EGJZQYHfvrx/fTz9+nX&#10;N7JM8nQeKsy695gX+/eux6WZ/IDOxLqXwaQv8iEYR3GPZ3FFHwlPj8rl9eUVJRxD5WW5XF4llOLp&#10;sQ8Q74QzJBk1DTi7LCk7fIQ4pE4pqZZ1t0rrPD9t/3IgZvIUqfOhw2TFftuPdLauOSKbDsdeU4tb&#10;Ton+YFHVtCGTESZjOxl7H9SuzSuU6oF/t4/YRO4tVRhgx8I4r8xu3K20EH/ec9bT/7R+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HRo4OzgEAAJcDAAAOAAAAAAAAAAEAIAAAAB8BAABkcnMv&#10;ZTJvRG9jLnhtbFBLBQYAAAAABgAGAFkBAABfBQAAAAA=&#10;">
              <v:fill on="f" focussize="0,0"/>
              <v:stroke on="f"/>
              <v:imagedata o:title=""/>
              <o:lock v:ext="edit" aspectratio="f"/>
              <v:textbox inset="0mm,0mm,0mm,0mm" style="mso-fit-shape-to-text:t;">
                <w:txbxContent>
                  <w:p>
                    <w:pPr>
                      <w:pStyle w:val="28"/>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50</w:t>
    </w:r>
    <w:r>
      <w:fldChar w:fldCharType="end"/>
    </w:r>
  </w:p>
  <w:p>
    <w:pPr>
      <w:pStyle w:val="28"/>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end"/>
    </w:r>
  </w:p>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hd w:val="clear" w:color="auto" w:fill="FFFFFF"/>
      <w:jc w:val="both"/>
      <w:rPr>
        <w:rFonts w:hint="eastAsia"/>
      </w:rPr>
    </w:pPr>
    <w:r>
      <w:rPr>
        <w:rFonts w:hint="eastAsia"/>
        <w:shd w:val="pct10" w:color="auto" w:fill="FFFFFF"/>
      </w:rPr>
      <w:t>平阳县公共资源交易中心招标文件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hd w:val="clear" w:color="auto" w:fill="FFFFFF"/>
      <w:jc w:val="both"/>
      <w:rPr>
        <w:rFonts w:hint="eastAsia"/>
      </w:rPr>
    </w:pPr>
    <w:r>
      <w:rPr>
        <w:rFonts w:hint="eastAsia"/>
        <w:shd w:val="pct10" w:color="auto" w:fill="FFFFFF"/>
      </w:rPr>
      <w:t>平阳县公共资源交易中心招标文件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05775"/>
    <w:multiLevelType w:val="singleLevel"/>
    <w:tmpl w:val="D9405775"/>
    <w:lvl w:ilvl="0" w:tentative="0">
      <w:start w:val="1"/>
      <w:numFmt w:val="decimal"/>
      <w:suff w:val="nothing"/>
      <w:lvlText w:val="（%1）"/>
      <w:lvlJc w:val="left"/>
    </w:lvl>
  </w:abstractNum>
  <w:abstractNum w:abstractNumId="1">
    <w:nsid w:val="FFFFFF83"/>
    <w:multiLevelType w:val="singleLevel"/>
    <w:tmpl w:val="FFFFFF83"/>
    <w:lvl w:ilvl="0" w:tentative="0">
      <w:start w:val="1"/>
      <w:numFmt w:val="bullet"/>
      <w:pStyle w:val="115"/>
      <w:lvlText w:val=""/>
      <w:lvlJc w:val="left"/>
      <w:pPr>
        <w:tabs>
          <w:tab w:val="left" w:pos="780"/>
        </w:tabs>
        <w:ind w:left="780" w:hanging="360"/>
      </w:pPr>
      <w:rPr>
        <w:rFonts w:hint="default" w:ascii="Wingdings" w:hAnsi="Wingdings"/>
      </w:rPr>
    </w:lvl>
  </w:abstractNum>
  <w:abstractNum w:abstractNumId="2">
    <w:nsid w:val="00000011"/>
    <w:multiLevelType w:val="multilevel"/>
    <w:tmpl w:val="00000011"/>
    <w:lvl w:ilvl="0" w:tentative="0">
      <w:start w:val="2"/>
      <w:numFmt w:val="decimal"/>
      <w:pStyle w:val="133"/>
      <w:suff w:val="nothing"/>
      <w:lvlText w:val="（%1）"/>
      <w:lvlJc w:val="left"/>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2"/>
      <w:numFmt w:val="decimalEnclosedCircle"/>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4">
    <w:nsid w:val="00000021"/>
    <w:multiLevelType w:val="singleLevel"/>
    <w:tmpl w:val="00000021"/>
    <w:lvl w:ilvl="0" w:tentative="0">
      <w:start w:val="1"/>
      <w:numFmt w:val="bullet"/>
      <w:lvlText w:val=""/>
      <w:lvlJc w:val="left"/>
      <w:pPr>
        <w:tabs>
          <w:tab w:val="left" w:pos="965"/>
        </w:tabs>
        <w:ind w:left="965" w:hanging="425"/>
      </w:pPr>
      <w:rPr>
        <w:rFonts w:hint="default" w:ascii="Wingdings" w:hAnsi="Wingdings"/>
      </w:rPr>
    </w:lvl>
  </w:abstractNum>
  <w:abstractNum w:abstractNumId="5">
    <w:nsid w:val="3590227A"/>
    <w:multiLevelType w:val="multilevel"/>
    <w:tmpl w:val="3590227A"/>
    <w:lvl w:ilvl="0" w:tentative="0">
      <w:start w:val="1"/>
      <w:numFmt w:val="decimal"/>
      <w:pStyle w:val="11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3EA03D8D"/>
    <w:multiLevelType w:val="multilevel"/>
    <w:tmpl w:val="3EA03D8D"/>
    <w:lvl w:ilvl="0" w:tentative="0">
      <w:start w:val="1"/>
      <w:numFmt w:val="bullet"/>
      <w:pStyle w:val="119"/>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7">
    <w:nsid w:val="5A9503E0"/>
    <w:multiLevelType w:val="singleLevel"/>
    <w:tmpl w:val="5A9503E0"/>
    <w:lvl w:ilvl="0" w:tentative="0">
      <w:start w:val="1"/>
      <w:numFmt w:val="chineseCounting"/>
      <w:suff w:val="nothing"/>
      <w:lvlText w:val="%1、"/>
      <w:lvlJc w:val="left"/>
    </w:lvl>
  </w:abstractNum>
  <w:abstractNum w:abstractNumId="8">
    <w:nsid w:val="5A951B85"/>
    <w:multiLevelType w:val="singleLevel"/>
    <w:tmpl w:val="5A951B85"/>
    <w:lvl w:ilvl="0" w:tentative="0">
      <w:start w:val="2"/>
      <w:numFmt w:val="chineseCounting"/>
      <w:suff w:val="space"/>
      <w:lvlText w:val="第%1部分"/>
      <w:lvlJc w:val="left"/>
    </w:lvl>
  </w:abstractNum>
  <w:abstractNum w:abstractNumId="9">
    <w:nsid w:val="6E230785"/>
    <w:multiLevelType w:val="multilevel"/>
    <w:tmpl w:val="6E230785"/>
    <w:lvl w:ilvl="0" w:tentative="0">
      <w:start w:val="1"/>
      <w:numFmt w:val="bullet"/>
      <w:pStyle w:val="168"/>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71DC5877"/>
    <w:multiLevelType w:val="multilevel"/>
    <w:tmpl w:val="71DC5877"/>
    <w:lvl w:ilvl="0" w:tentative="0">
      <w:start w:val="1"/>
      <w:numFmt w:val="decimal"/>
      <w:pStyle w:val="194"/>
      <w:lvlText w:val="%1、"/>
      <w:lvlJc w:val="left"/>
      <w:pPr>
        <w:ind w:left="360" w:hanging="360"/>
      </w:pPr>
      <w:rPr>
        <w:rFonts w:hint="default" w:ascii="Calibri" w:hAnsi="Calibri"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6"/>
  </w:num>
  <w:num w:numId="4">
    <w:abstractNumId w:val="2"/>
  </w:num>
  <w:num w:numId="5">
    <w:abstractNumId w:val="9"/>
  </w:num>
  <w:num w:numId="6">
    <w:abstractNumId w:val="10"/>
  </w:num>
  <w:num w:numId="7">
    <w:abstractNumId w:val="7"/>
  </w:num>
  <w:num w:numId="8">
    <w:abstractNumId w:val="3"/>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0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E3"/>
    <w:rsid w:val="0000050A"/>
    <w:rsid w:val="000008E1"/>
    <w:rsid w:val="0000156B"/>
    <w:rsid w:val="000017CF"/>
    <w:rsid w:val="00001DDA"/>
    <w:rsid w:val="0000282F"/>
    <w:rsid w:val="0000311E"/>
    <w:rsid w:val="000033C5"/>
    <w:rsid w:val="000034D4"/>
    <w:rsid w:val="000036A4"/>
    <w:rsid w:val="00003766"/>
    <w:rsid w:val="00003A96"/>
    <w:rsid w:val="00003D5B"/>
    <w:rsid w:val="00004D25"/>
    <w:rsid w:val="00004FBA"/>
    <w:rsid w:val="00005159"/>
    <w:rsid w:val="000054CD"/>
    <w:rsid w:val="00005BD8"/>
    <w:rsid w:val="000063AA"/>
    <w:rsid w:val="00010A5F"/>
    <w:rsid w:val="00010D4B"/>
    <w:rsid w:val="0001150A"/>
    <w:rsid w:val="00012E8B"/>
    <w:rsid w:val="00012ED6"/>
    <w:rsid w:val="0001376F"/>
    <w:rsid w:val="000149B6"/>
    <w:rsid w:val="000154DC"/>
    <w:rsid w:val="0001566E"/>
    <w:rsid w:val="00016A21"/>
    <w:rsid w:val="00016B11"/>
    <w:rsid w:val="000175CC"/>
    <w:rsid w:val="00020642"/>
    <w:rsid w:val="00020AC2"/>
    <w:rsid w:val="00021A3D"/>
    <w:rsid w:val="00023DA5"/>
    <w:rsid w:val="00025C59"/>
    <w:rsid w:val="00025E55"/>
    <w:rsid w:val="0002669A"/>
    <w:rsid w:val="00027025"/>
    <w:rsid w:val="000274F1"/>
    <w:rsid w:val="00027A73"/>
    <w:rsid w:val="0003059F"/>
    <w:rsid w:val="000313B0"/>
    <w:rsid w:val="00032ACF"/>
    <w:rsid w:val="0003371C"/>
    <w:rsid w:val="00033E3B"/>
    <w:rsid w:val="000355AE"/>
    <w:rsid w:val="00035E08"/>
    <w:rsid w:val="00036466"/>
    <w:rsid w:val="000369C7"/>
    <w:rsid w:val="00036A74"/>
    <w:rsid w:val="00037508"/>
    <w:rsid w:val="0003750D"/>
    <w:rsid w:val="00041532"/>
    <w:rsid w:val="00041DDC"/>
    <w:rsid w:val="00042984"/>
    <w:rsid w:val="000433FD"/>
    <w:rsid w:val="0004353D"/>
    <w:rsid w:val="000457C2"/>
    <w:rsid w:val="00047958"/>
    <w:rsid w:val="00051CC7"/>
    <w:rsid w:val="00053750"/>
    <w:rsid w:val="000537C5"/>
    <w:rsid w:val="000541B7"/>
    <w:rsid w:val="00055472"/>
    <w:rsid w:val="000558A6"/>
    <w:rsid w:val="00056284"/>
    <w:rsid w:val="00056829"/>
    <w:rsid w:val="00056BD7"/>
    <w:rsid w:val="00056E70"/>
    <w:rsid w:val="000577CC"/>
    <w:rsid w:val="00057ABA"/>
    <w:rsid w:val="0006007B"/>
    <w:rsid w:val="0006156F"/>
    <w:rsid w:val="0006258D"/>
    <w:rsid w:val="00063B6E"/>
    <w:rsid w:val="0006481D"/>
    <w:rsid w:val="0006508B"/>
    <w:rsid w:val="000651A3"/>
    <w:rsid w:val="0006558F"/>
    <w:rsid w:val="000664A7"/>
    <w:rsid w:val="0006679C"/>
    <w:rsid w:val="0006714B"/>
    <w:rsid w:val="00067659"/>
    <w:rsid w:val="00070222"/>
    <w:rsid w:val="000704A9"/>
    <w:rsid w:val="000710F5"/>
    <w:rsid w:val="00072101"/>
    <w:rsid w:val="00073444"/>
    <w:rsid w:val="000736A8"/>
    <w:rsid w:val="0007374E"/>
    <w:rsid w:val="00073A2E"/>
    <w:rsid w:val="00073B3E"/>
    <w:rsid w:val="00073D17"/>
    <w:rsid w:val="00073ED5"/>
    <w:rsid w:val="000745D9"/>
    <w:rsid w:val="000758BE"/>
    <w:rsid w:val="00075A29"/>
    <w:rsid w:val="00077F98"/>
    <w:rsid w:val="000806C8"/>
    <w:rsid w:val="00081589"/>
    <w:rsid w:val="00082107"/>
    <w:rsid w:val="0008263E"/>
    <w:rsid w:val="00082920"/>
    <w:rsid w:val="00087B0F"/>
    <w:rsid w:val="00090EC8"/>
    <w:rsid w:val="00091393"/>
    <w:rsid w:val="00093174"/>
    <w:rsid w:val="00093674"/>
    <w:rsid w:val="0009377D"/>
    <w:rsid w:val="00093AE0"/>
    <w:rsid w:val="0009556F"/>
    <w:rsid w:val="00096AC7"/>
    <w:rsid w:val="00096DF5"/>
    <w:rsid w:val="00097BBE"/>
    <w:rsid w:val="000A0394"/>
    <w:rsid w:val="000A073C"/>
    <w:rsid w:val="000A08BC"/>
    <w:rsid w:val="000A142F"/>
    <w:rsid w:val="000A26FF"/>
    <w:rsid w:val="000A2A9F"/>
    <w:rsid w:val="000A545B"/>
    <w:rsid w:val="000A5677"/>
    <w:rsid w:val="000A57D5"/>
    <w:rsid w:val="000A700C"/>
    <w:rsid w:val="000A7ACE"/>
    <w:rsid w:val="000A7CA4"/>
    <w:rsid w:val="000B0999"/>
    <w:rsid w:val="000B1651"/>
    <w:rsid w:val="000B2054"/>
    <w:rsid w:val="000B38B0"/>
    <w:rsid w:val="000B63AD"/>
    <w:rsid w:val="000C045E"/>
    <w:rsid w:val="000C094E"/>
    <w:rsid w:val="000C112C"/>
    <w:rsid w:val="000C117D"/>
    <w:rsid w:val="000C3636"/>
    <w:rsid w:val="000C4BB1"/>
    <w:rsid w:val="000C528B"/>
    <w:rsid w:val="000C6502"/>
    <w:rsid w:val="000C6A7B"/>
    <w:rsid w:val="000C7AEC"/>
    <w:rsid w:val="000C7D05"/>
    <w:rsid w:val="000D0FC0"/>
    <w:rsid w:val="000D1731"/>
    <w:rsid w:val="000D1968"/>
    <w:rsid w:val="000D1D2D"/>
    <w:rsid w:val="000D2BBC"/>
    <w:rsid w:val="000D2DBF"/>
    <w:rsid w:val="000D3DE1"/>
    <w:rsid w:val="000D3F11"/>
    <w:rsid w:val="000D6EDD"/>
    <w:rsid w:val="000D75EA"/>
    <w:rsid w:val="000E16A7"/>
    <w:rsid w:val="000E3807"/>
    <w:rsid w:val="000E38EE"/>
    <w:rsid w:val="000E4384"/>
    <w:rsid w:val="000E5B0E"/>
    <w:rsid w:val="000E74CD"/>
    <w:rsid w:val="000E793E"/>
    <w:rsid w:val="000F090A"/>
    <w:rsid w:val="000F1E66"/>
    <w:rsid w:val="000F233D"/>
    <w:rsid w:val="000F58E1"/>
    <w:rsid w:val="000F6461"/>
    <w:rsid w:val="000F72E7"/>
    <w:rsid w:val="000F78BE"/>
    <w:rsid w:val="000F7B3E"/>
    <w:rsid w:val="000F7BBF"/>
    <w:rsid w:val="000F7CC6"/>
    <w:rsid w:val="000F7E1B"/>
    <w:rsid w:val="0010000E"/>
    <w:rsid w:val="001003DF"/>
    <w:rsid w:val="00103ABA"/>
    <w:rsid w:val="001054D2"/>
    <w:rsid w:val="0010551A"/>
    <w:rsid w:val="00105DEA"/>
    <w:rsid w:val="00106DFC"/>
    <w:rsid w:val="00106EA5"/>
    <w:rsid w:val="00107BC3"/>
    <w:rsid w:val="00107C1D"/>
    <w:rsid w:val="001101F5"/>
    <w:rsid w:val="00111A6F"/>
    <w:rsid w:val="00113394"/>
    <w:rsid w:val="00113BCA"/>
    <w:rsid w:val="00115EA2"/>
    <w:rsid w:val="001164B7"/>
    <w:rsid w:val="001164D1"/>
    <w:rsid w:val="001166ED"/>
    <w:rsid w:val="001175AC"/>
    <w:rsid w:val="00117A94"/>
    <w:rsid w:val="00117CFD"/>
    <w:rsid w:val="001202D6"/>
    <w:rsid w:val="00120344"/>
    <w:rsid w:val="0012052D"/>
    <w:rsid w:val="001211E6"/>
    <w:rsid w:val="00121647"/>
    <w:rsid w:val="00121907"/>
    <w:rsid w:val="00122EBB"/>
    <w:rsid w:val="001237CA"/>
    <w:rsid w:val="0012430E"/>
    <w:rsid w:val="00126ADA"/>
    <w:rsid w:val="00130504"/>
    <w:rsid w:val="001311AA"/>
    <w:rsid w:val="00131637"/>
    <w:rsid w:val="00131BD9"/>
    <w:rsid w:val="00134916"/>
    <w:rsid w:val="00134E8A"/>
    <w:rsid w:val="00135D6B"/>
    <w:rsid w:val="00136471"/>
    <w:rsid w:val="001368F1"/>
    <w:rsid w:val="001405B0"/>
    <w:rsid w:val="0014063C"/>
    <w:rsid w:val="001416AC"/>
    <w:rsid w:val="00142BD9"/>
    <w:rsid w:val="00143A08"/>
    <w:rsid w:val="00144D76"/>
    <w:rsid w:val="00146490"/>
    <w:rsid w:val="00147437"/>
    <w:rsid w:val="0015071E"/>
    <w:rsid w:val="001510F9"/>
    <w:rsid w:val="00151292"/>
    <w:rsid w:val="00151478"/>
    <w:rsid w:val="001535CC"/>
    <w:rsid w:val="00153FC5"/>
    <w:rsid w:val="0015415A"/>
    <w:rsid w:val="001558AF"/>
    <w:rsid w:val="00155957"/>
    <w:rsid w:val="0015633B"/>
    <w:rsid w:val="001564F2"/>
    <w:rsid w:val="001567C0"/>
    <w:rsid w:val="00156DF3"/>
    <w:rsid w:val="00157B75"/>
    <w:rsid w:val="001600E5"/>
    <w:rsid w:val="00160543"/>
    <w:rsid w:val="0016082A"/>
    <w:rsid w:val="00160D79"/>
    <w:rsid w:val="00164072"/>
    <w:rsid w:val="0016469F"/>
    <w:rsid w:val="001649CB"/>
    <w:rsid w:val="00166526"/>
    <w:rsid w:val="00171F87"/>
    <w:rsid w:val="0017358E"/>
    <w:rsid w:val="001756E0"/>
    <w:rsid w:val="00175923"/>
    <w:rsid w:val="00177B2D"/>
    <w:rsid w:val="00180BCA"/>
    <w:rsid w:val="00180E14"/>
    <w:rsid w:val="00181449"/>
    <w:rsid w:val="001816A5"/>
    <w:rsid w:val="001817C5"/>
    <w:rsid w:val="00182040"/>
    <w:rsid w:val="0018263A"/>
    <w:rsid w:val="00182FC8"/>
    <w:rsid w:val="00184445"/>
    <w:rsid w:val="00186F4F"/>
    <w:rsid w:val="00190621"/>
    <w:rsid w:val="00192E86"/>
    <w:rsid w:val="00193F47"/>
    <w:rsid w:val="001940F8"/>
    <w:rsid w:val="0019522C"/>
    <w:rsid w:val="00195CAC"/>
    <w:rsid w:val="0019758E"/>
    <w:rsid w:val="001A0333"/>
    <w:rsid w:val="001A07AA"/>
    <w:rsid w:val="001A29A1"/>
    <w:rsid w:val="001A2EB8"/>
    <w:rsid w:val="001A6586"/>
    <w:rsid w:val="001A6CCF"/>
    <w:rsid w:val="001A7462"/>
    <w:rsid w:val="001A7B86"/>
    <w:rsid w:val="001B1619"/>
    <w:rsid w:val="001B1A32"/>
    <w:rsid w:val="001B1B20"/>
    <w:rsid w:val="001B2180"/>
    <w:rsid w:val="001B410B"/>
    <w:rsid w:val="001B4154"/>
    <w:rsid w:val="001B4F5A"/>
    <w:rsid w:val="001B50BC"/>
    <w:rsid w:val="001B6C30"/>
    <w:rsid w:val="001B790E"/>
    <w:rsid w:val="001C09BB"/>
    <w:rsid w:val="001C11E8"/>
    <w:rsid w:val="001C1A1A"/>
    <w:rsid w:val="001C3AE0"/>
    <w:rsid w:val="001C4423"/>
    <w:rsid w:val="001C46F3"/>
    <w:rsid w:val="001C5283"/>
    <w:rsid w:val="001C562D"/>
    <w:rsid w:val="001C658E"/>
    <w:rsid w:val="001C6CBD"/>
    <w:rsid w:val="001D0CC9"/>
    <w:rsid w:val="001D2544"/>
    <w:rsid w:val="001D2841"/>
    <w:rsid w:val="001D38EB"/>
    <w:rsid w:val="001D3E7A"/>
    <w:rsid w:val="001D40A3"/>
    <w:rsid w:val="001D5303"/>
    <w:rsid w:val="001D5DB9"/>
    <w:rsid w:val="001D6064"/>
    <w:rsid w:val="001D712E"/>
    <w:rsid w:val="001D735F"/>
    <w:rsid w:val="001E096E"/>
    <w:rsid w:val="001E1065"/>
    <w:rsid w:val="001E2267"/>
    <w:rsid w:val="001E2DCD"/>
    <w:rsid w:val="001E2E4F"/>
    <w:rsid w:val="001E348C"/>
    <w:rsid w:val="001E3A70"/>
    <w:rsid w:val="001E4E13"/>
    <w:rsid w:val="001E6332"/>
    <w:rsid w:val="001F0E21"/>
    <w:rsid w:val="001F114B"/>
    <w:rsid w:val="001F17A1"/>
    <w:rsid w:val="001F1971"/>
    <w:rsid w:val="001F1A5C"/>
    <w:rsid w:val="001F23A3"/>
    <w:rsid w:val="001F2748"/>
    <w:rsid w:val="001F5221"/>
    <w:rsid w:val="001F542A"/>
    <w:rsid w:val="001F5A50"/>
    <w:rsid w:val="001F5B9F"/>
    <w:rsid w:val="001F7D0E"/>
    <w:rsid w:val="002004EC"/>
    <w:rsid w:val="002014DB"/>
    <w:rsid w:val="00202A5D"/>
    <w:rsid w:val="002034D5"/>
    <w:rsid w:val="002035CF"/>
    <w:rsid w:val="002043CA"/>
    <w:rsid w:val="00205B9B"/>
    <w:rsid w:val="00206094"/>
    <w:rsid w:val="00206DA3"/>
    <w:rsid w:val="00206F81"/>
    <w:rsid w:val="00207D6C"/>
    <w:rsid w:val="002100B5"/>
    <w:rsid w:val="00211562"/>
    <w:rsid w:val="00211A9B"/>
    <w:rsid w:val="00211DBD"/>
    <w:rsid w:val="00211F21"/>
    <w:rsid w:val="00212C62"/>
    <w:rsid w:val="00212FE1"/>
    <w:rsid w:val="00213FEF"/>
    <w:rsid w:val="00214018"/>
    <w:rsid w:val="00215F2E"/>
    <w:rsid w:val="002164D9"/>
    <w:rsid w:val="0021695E"/>
    <w:rsid w:val="00216FB4"/>
    <w:rsid w:val="00217B95"/>
    <w:rsid w:val="002206AF"/>
    <w:rsid w:val="00220A3A"/>
    <w:rsid w:val="00220CF3"/>
    <w:rsid w:val="00224498"/>
    <w:rsid w:val="002245C6"/>
    <w:rsid w:val="00226BCB"/>
    <w:rsid w:val="00227549"/>
    <w:rsid w:val="002301F8"/>
    <w:rsid w:val="00230BC2"/>
    <w:rsid w:val="00230BDD"/>
    <w:rsid w:val="00230D55"/>
    <w:rsid w:val="00230E2B"/>
    <w:rsid w:val="002311F1"/>
    <w:rsid w:val="002317B7"/>
    <w:rsid w:val="002321EE"/>
    <w:rsid w:val="0023237D"/>
    <w:rsid w:val="002333C1"/>
    <w:rsid w:val="002333F3"/>
    <w:rsid w:val="00233982"/>
    <w:rsid w:val="00234662"/>
    <w:rsid w:val="00234D71"/>
    <w:rsid w:val="00235787"/>
    <w:rsid w:val="002367B0"/>
    <w:rsid w:val="0023700A"/>
    <w:rsid w:val="00241002"/>
    <w:rsid w:val="00241F02"/>
    <w:rsid w:val="00242DCF"/>
    <w:rsid w:val="00243E4B"/>
    <w:rsid w:val="002447E3"/>
    <w:rsid w:val="002464AE"/>
    <w:rsid w:val="00247295"/>
    <w:rsid w:val="0024771F"/>
    <w:rsid w:val="00247F1B"/>
    <w:rsid w:val="00250A2A"/>
    <w:rsid w:val="002515A6"/>
    <w:rsid w:val="00251869"/>
    <w:rsid w:val="00251F35"/>
    <w:rsid w:val="00254207"/>
    <w:rsid w:val="002560D6"/>
    <w:rsid w:val="00260C22"/>
    <w:rsid w:val="00261951"/>
    <w:rsid w:val="00263D39"/>
    <w:rsid w:val="00264C3B"/>
    <w:rsid w:val="00265114"/>
    <w:rsid w:val="00265E3E"/>
    <w:rsid w:val="002703B7"/>
    <w:rsid w:val="00270E9B"/>
    <w:rsid w:val="00271C53"/>
    <w:rsid w:val="00271E60"/>
    <w:rsid w:val="00273970"/>
    <w:rsid w:val="00273B67"/>
    <w:rsid w:val="00274820"/>
    <w:rsid w:val="00274A15"/>
    <w:rsid w:val="00274F42"/>
    <w:rsid w:val="002751C0"/>
    <w:rsid w:val="00275787"/>
    <w:rsid w:val="00275CF9"/>
    <w:rsid w:val="002766E7"/>
    <w:rsid w:val="00276BA6"/>
    <w:rsid w:val="0027768D"/>
    <w:rsid w:val="002779FD"/>
    <w:rsid w:val="00277B27"/>
    <w:rsid w:val="00280684"/>
    <w:rsid w:val="00280EBD"/>
    <w:rsid w:val="0028354B"/>
    <w:rsid w:val="00284497"/>
    <w:rsid w:val="00285619"/>
    <w:rsid w:val="002870E5"/>
    <w:rsid w:val="0028777B"/>
    <w:rsid w:val="002879B9"/>
    <w:rsid w:val="0029173D"/>
    <w:rsid w:val="00291B6E"/>
    <w:rsid w:val="00292CA0"/>
    <w:rsid w:val="00293F70"/>
    <w:rsid w:val="00294B9E"/>
    <w:rsid w:val="0029595C"/>
    <w:rsid w:val="00296B4C"/>
    <w:rsid w:val="00297C26"/>
    <w:rsid w:val="002A0067"/>
    <w:rsid w:val="002A034C"/>
    <w:rsid w:val="002A1606"/>
    <w:rsid w:val="002A25C7"/>
    <w:rsid w:val="002A30D1"/>
    <w:rsid w:val="002A3D44"/>
    <w:rsid w:val="002A4194"/>
    <w:rsid w:val="002A4825"/>
    <w:rsid w:val="002A617F"/>
    <w:rsid w:val="002A6764"/>
    <w:rsid w:val="002A6BA9"/>
    <w:rsid w:val="002B0C9A"/>
    <w:rsid w:val="002B0FBF"/>
    <w:rsid w:val="002B10DE"/>
    <w:rsid w:val="002B587C"/>
    <w:rsid w:val="002B767B"/>
    <w:rsid w:val="002C2498"/>
    <w:rsid w:val="002C2F88"/>
    <w:rsid w:val="002C3642"/>
    <w:rsid w:val="002C3A38"/>
    <w:rsid w:val="002C3A55"/>
    <w:rsid w:val="002C51E3"/>
    <w:rsid w:val="002C5A6B"/>
    <w:rsid w:val="002C5D4A"/>
    <w:rsid w:val="002C5F5E"/>
    <w:rsid w:val="002C749B"/>
    <w:rsid w:val="002C7AD2"/>
    <w:rsid w:val="002C7D14"/>
    <w:rsid w:val="002D0084"/>
    <w:rsid w:val="002D0543"/>
    <w:rsid w:val="002D28EA"/>
    <w:rsid w:val="002D2BCE"/>
    <w:rsid w:val="002D3B3D"/>
    <w:rsid w:val="002D3E0E"/>
    <w:rsid w:val="002D448C"/>
    <w:rsid w:val="002D4495"/>
    <w:rsid w:val="002D6253"/>
    <w:rsid w:val="002D6A39"/>
    <w:rsid w:val="002D6DA0"/>
    <w:rsid w:val="002D7C83"/>
    <w:rsid w:val="002E0853"/>
    <w:rsid w:val="002E0DC6"/>
    <w:rsid w:val="002E1803"/>
    <w:rsid w:val="002E1D47"/>
    <w:rsid w:val="002E45FF"/>
    <w:rsid w:val="002E5750"/>
    <w:rsid w:val="002E6793"/>
    <w:rsid w:val="002F05C7"/>
    <w:rsid w:val="002F45D5"/>
    <w:rsid w:val="002F69F8"/>
    <w:rsid w:val="003008AA"/>
    <w:rsid w:val="003009E4"/>
    <w:rsid w:val="003017A1"/>
    <w:rsid w:val="00302FF7"/>
    <w:rsid w:val="003044E9"/>
    <w:rsid w:val="003046D2"/>
    <w:rsid w:val="00304942"/>
    <w:rsid w:val="0030522D"/>
    <w:rsid w:val="0030549E"/>
    <w:rsid w:val="00306F6F"/>
    <w:rsid w:val="00311B89"/>
    <w:rsid w:val="00313D55"/>
    <w:rsid w:val="003147F5"/>
    <w:rsid w:val="00315E1A"/>
    <w:rsid w:val="003167B9"/>
    <w:rsid w:val="00316B55"/>
    <w:rsid w:val="00316DC4"/>
    <w:rsid w:val="0031794C"/>
    <w:rsid w:val="003207CF"/>
    <w:rsid w:val="00321D8E"/>
    <w:rsid w:val="00321DAC"/>
    <w:rsid w:val="00321E85"/>
    <w:rsid w:val="00321F02"/>
    <w:rsid w:val="00322F5C"/>
    <w:rsid w:val="00323ADC"/>
    <w:rsid w:val="003241E6"/>
    <w:rsid w:val="00324686"/>
    <w:rsid w:val="00325018"/>
    <w:rsid w:val="0032576B"/>
    <w:rsid w:val="00325F68"/>
    <w:rsid w:val="003263D9"/>
    <w:rsid w:val="003275AC"/>
    <w:rsid w:val="00331D75"/>
    <w:rsid w:val="0033353B"/>
    <w:rsid w:val="00333876"/>
    <w:rsid w:val="00334272"/>
    <w:rsid w:val="00337CDE"/>
    <w:rsid w:val="00340D76"/>
    <w:rsid w:val="00341685"/>
    <w:rsid w:val="003426DB"/>
    <w:rsid w:val="00342CCA"/>
    <w:rsid w:val="00342D23"/>
    <w:rsid w:val="003445F8"/>
    <w:rsid w:val="00345364"/>
    <w:rsid w:val="003463D6"/>
    <w:rsid w:val="003467E5"/>
    <w:rsid w:val="00346C47"/>
    <w:rsid w:val="003478E0"/>
    <w:rsid w:val="00347E37"/>
    <w:rsid w:val="00350139"/>
    <w:rsid w:val="003511A2"/>
    <w:rsid w:val="003520B8"/>
    <w:rsid w:val="00352487"/>
    <w:rsid w:val="00354119"/>
    <w:rsid w:val="0035434C"/>
    <w:rsid w:val="00354656"/>
    <w:rsid w:val="003566A3"/>
    <w:rsid w:val="003569C8"/>
    <w:rsid w:val="00357141"/>
    <w:rsid w:val="00357853"/>
    <w:rsid w:val="003611A7"/>
    <w:rsid w:val="003611FE"/>
    <w:rsid w:val="00361B66"/>
    <w:rsid w:val="00362511"/>
    <w:rsid w:val="003630CD"/>
    <w:rsid w:val="00363530"/>
    <w:rsid w:val="00363929"/>
    <w:rsid w:val="00363C40"/>
    <w:rsid w:val="00365B0A"/>
    <w:rsid w:val="003660A0"/>
    <w:rsid w:val="0036676A"/>
    <w:rsid w:val="003669E3"/>
    <w:rsid w:val="00367F0F"/>
    <w:rsid w:val="003707D4"/>
    <w:rsid w:val="00370B5B"/>
    <w:rsid w:val="00370CCF"/>
    <w:rsid w:val="00370ED2"/>
    <w:rsid w:val="003720AF"/>
    <w:rsid w:val="00372C27"/>
    <w:rsid w:val="00375853"/>
    <w:rsid w:val="003768D5"/>
    <w:rsid w:val="00376E2B"/>
    <w:rsid w:val="00380350"/>
    <w:rsid w:val="003808AB"/>
    <w:rsid w:val="00381AC4"/>
    <w:rsid w:val="00381B75"/>
    <w:rsid w:val="003824CF"/>
    <w:rsid w:val="00383A45"/>
    <w:rsid w:val="003841FE"/>
    <w:rsid w:val="003842D4"/>
    <w:rsid w:val="00384BD5"/>
    <w:rsid w:val="0038737C"/>
    <w:rsid w:val="00387E3A"/>
    <w:rsid w:val="00390106"/>
    <w:rsid w:val="00390E9D"/>
    <w:rsid w:val="00390EFC"/>
    <w:rsid w:val="00391544"/>
    <w:rsid w:val="00391989"/>
    <w:rsid w:val="00392035"/>
    <w:rsid w:val="003941F8"/>
    <w:rsid w:val="00394921"/>
    <w:rsid w:val="00395827"/>
    <w:rsid w:val="00396590"/>
    <w:rsid w:val="00396999"/>
    <w:rsid w:val="00396BAF"/>
    <w:rsid w:val="00397AFE"/>
    <w:rsid w:val="003A0479"/>
    <w:rsid w:val="003A0A44"/>
    <w:rsid w:val="003A0C0B"/>
    <w:rsid w:val="003A13EC"/>
    <w:rsid w:val="003A1E97"/>
    <w:rsid w:val="003A251D"/>
    <w:rsid w:val="003A287C"/>
    <w:rsid w:val="003A2F4A"/>
    <w:rsid w:val="003A3118"/>
    <w:rsid w:val="003A3AE1"/>
    <w:rsid w:val="003A3CF6"/>
    <w:rsid w:val="003A4B8B"/>
    <w:rsid w:val="003A4CE6"/>
    <w:rsid w:val="003A52CB"/>
    <w:rsid w:val="003A57A3"/>
    <w:rsid w:val="003A582D"/>
    <w:rsid w:val="003A649D"/>
    <w:rsid w:val="003A6838"/>
    <w:rsid w:val="003A68EA"/>
    <w:rsid w:val="003A69B7"/>
    <w:rsid w:val="003B18C5"/>
    <w:rsid w:val="003B1EFD"/>
    <w:rsid w:val="003B210F"/>
    <w:rsid w:val="003B35EA"/>
    <w:rsid w:val="003B373E"/>
    <w:rsid w:val="003B47A4"/>
    <w:rsid w:val="003B4A22"/>
    <w:rsid w:val="003B5290"/>
    <w:rsid w:val="003B5F68"/>
    <w:rsid w:val="003B63E9"/>
    <w:rsid w:val="003B72D2"/>
    <w:rsid w:val="003B7429"/>
    <w:rsid w:val="003B77EC"/>
    <w:rsid w:val="003B78A0"/>
    <w:rsid w:val="003B7F69"/>
    <w:rsid w:val="003C052B"/>
    <w:rsid w:val="003C14DA"/>
    <w:rsid w:val="003C3128"/>
    <w:rsid w:val="003C33A2"/>
    <w:rsid w:val="003C3658"/>
    <w:rsid w:val="003C4110"/>
    <w:rsid w:val="003C4E6A"/>
    <w:rsid w:val="003C592F"/>
    <w:rsid w:val="003C6291"/>
    <w:rsid w:val="003C7874"/>
    <w:rsid w:val="003C7C25"/>
    <w:rsid w:val="003D17A3"/>
    <w:rsid w:val="003D19C3"/>
    <w:rsid w:val="003D47D7"/>
    <w:rsid w:val="003D4988"/>
    <w:rsid w:val="003D534A"/>
    <w:rsid w:val="003D6077"/>
    <w:rsid w:val="003D611E"/>
    <w:rsid w:val="003D6907"/>
    <w:rsid w:val="003D74FB"/>
    <w:rsid w:val="003D7558"/>
    <w:rsid w:val="003D7639"/>
    <w:rsid w:val="003D79A1"/>
    <w:rsid w:val="003D7AAF"/>
    <w:rsid w:val="003D7FFE"/>
    <w:rsid w:val="003E022B"/>
    <w:rsid w:val="003E0583"/>
    <w:rsid w:val="003E0B58"/>
    <w:rsid w:val="003E15F6"/>
    <w:rsid w:val="003E1D93"/>
    <w:rsid w:val="003E3424"/>
    <w:rsid w:val="003E3AAA"/>
    <w:rsid w:val="003E42C9"/>
    <w:rsid w:val="003E4C86"/>
    <w:rsid w:val="003E6BE6"/>
    <w:rsid w:val="003F18AB"/>
    <w:rsid w:val="003F1F40"/>
    <w:rsid w:val="003F3F18"/>
    <w:rsid w:val="003F5D43"/>
    <w:rsid w:val="003F6AE0"/>
    <w:rsid w:val="003F704E"/>
    <w:rsid w:val="004006F9"/>
    <w:rsid w:val="00402AA5"/>
    <w:rsid w:val="00402B3F"/>
    <w:rsid w:val="00402CAE"/>
    <w:rsid w:val="00403F3D"/>
    <w:rsid w:val="0040529F"/>
    <w:rsid w:val="004065EE"/>
    <w:rsid w:val="00410FEE"/>
    <w:rsid w:val="00411F1A"/>
    <w:rsid w:val="004122BB"/>
    <w:rsid w:val="004122CA"/>
    <w:rsid w:val="00412CBE"/>
    <w:rsid w:val="00413A78"/>
    <w:rsid w:val="00413B10"/>
    <w:rsid w:val="004140F7"/>
    <w:rsid w:val="00415C14"/>
    <w:rsid w:val="00415EC2"/>
    <w:rsid w:val="00416BBD"/>
    <w:rsid w:val="004170EB"/>
    <w:rsid w:val="004176E2"/>
    <w:rsid w:val="00417FEB"/>
    <w:rsid w:val="0042140A"/>
    <w:rsid w:val="00421D90"/>
    <w:rsid w:val="004223C1"/>
    <w:rsid w:val="00422C98"/>
    <w:rsid w:val="00423526"/>
    <w:rsid w:val="004239B2"/>
    <w:rsid w:val="004260ED"/>
    <w:rsid w:val="00427A51"/>
    <w:rsid w:val="004311A3"/>
    <w:rsid w:val="004315C2"/>
    <w:rsid w:val="00431807"/>
    <w:rsid w:val="00432CEA"/>
    <w:rsid w:val="004343A3"/>
    <w:rsid w:val="0043590A"/>
    <w:rsid w:val="00436335"/>
    <w:rsid w:val="00437065"/>
    <w:rsid w:val="004372E7"/>
    <w:rsid w:val="00437FF0"/>
    <w:rsid w:val="00440663"/>
    <w:rsid w:val="00441572"/>
    <w:rsid w:val="00441655"/>
    <w:rsid w:val="0044263F"/>
    <w:rsid w:val="004428C8"/>
    <w:rsid w:val="00443564"/>
    <w:rsid w:val="00443CFD"/>
    <w:rsid w:val="00444822"/>
    <w:rsid w:val="00444A19"/>
    <w:rsid w:val="00445765"/>
    <w:rsid w:val="00445D52"/>
    <w:rsid w:val="00447DAB"/>
    <w:rsid w:val="00450D1F"/>
    <w:rsid w:val="00451FD8"/>
    <w:rsid w:val="00452207"/>
    <w:rsid w:val="004531C0"/>
    <w:rsid w:val="00454581"/>
    <w:rsid w:val="0045475F"/>
    <w:rsid w:val="004558E6"/>
    <w:rsid w:val="00456BE4"/>
    <w:rsid w:val="004575A9"/>
    <w:rsid w:val="004602FD"/>
    <w:rsid w:val="00463DE3"/>
    <w:rsid w:val="004642F6"/>
    <w:rsid w:val="004667A3"/>
    <w:rsid w:val="00470BDC"/>
    <w:rsid w:val="00470E7D"/>
    <w:rsid w:val="00473022"/>
    <w:rsid w:val="00474055"/>
    <w:rsid w:val="00474488"/>
    <w:rsid w:val="004746C0"/>
    <w:rsid w:val="00475B99"/>
    <w:rsid w:val="004760E1"/>
    <w:rsid w:val="00477141"/>
    <w:rsid w:val="004773D9"/>
    <w:rsid w:val="004806EC"/>
    <w:rsid w:val="00480842"/>
    <w:rsid w:val="0048183E"/>
    <w:rsid w:val="0048185E"/>
    <w:rsid w:val="004840EC"/>
    <w:rsid w:val="004859A9"/>
    <w:rsid w:val="004859D1"/>
    <w:rsid w:val="00487E0F"/>
    <w:rsid w:val="00492D97"/>
    <w:rsid w:val="004939C6"/>
    <w:rsid w:val="00493F0C"/>
    <w:rsid w:val="0049412B"/>
    <w:rsid w:val="00494399"/>
    <w:rsid w:val="00494EC5"/>
    <w:rsid w:val="00495FE2"/>
    <w:rsid w:val="004963E4"/>
    <w:rsid w:val="00496CFD"/>
    <w:rsid w:val="004972D2"/>
    <w:rsid w:val="0049757F"/>
    <w:rsid w:val="00497609"/>
    <w:rsid w:val="004A0855"/>
    <w:rsid w:val="004A1522"/>
    <w:rsid w:val="004A370D"/>
    <w:rsid w:val="004A6C17"/>
    <w:rsid w:val="004A710F"/>
    <w:rsid w:val="004A75B3"/>
    <w:rsid w:val="004B0537"/>
    <w:rsid w:val="004B1267"/>
    <w:rsid w:val="004B12DD"/>
    <w:rsid w:val="004B20BA"/>
    <w:rsid w:val="004B3940"/>
    <w:rsid w:val="004B3CD3"/>
    <w:rsid w:val="004B554A"/>
    <w:rsid w:val="004B573A"/>
    <w:rsid w:val="004B6946"/>
    <w:rsid w:val="004B6D7B"/>
    <w:rsid w:val="004B733C"/>
    <w:rsid w:val="004C02D0"/>
    <w:rsid w:val="004C0C54"/>
    <w:rsid w:val="004C2577"/>
    <w:rsid w:val="004C2825"/>
    <w:rsid w:val="004C40CF"/>
    <w:rsid w:val="004C4748"/>
    <w:rsid w:val="004C664B"/>
    <w:rsid w:val="004C7D67"/>
    <w:rsid w:val="004D076F"/>
    <w:rsid w:val="004D0B35"/>
    <w:rsid w:val="004D0CFF"/>
    <w:rsid w:val="004D2CC3"/>
    <w:rsid w:val="004D32B0"/>
    <w:rsid w:val="004D3670"/>
    <w:rsid w:val="004D4C8E"/>
    <w:rsid w:val="004D4FF8"/>
    <w:rsid w:val="004D56A1"/>
    <w:rsid w:val="004D5E99"/>
    <w:rsid w:val="004D63C4"/>
    <w:rsid w:val="004D73A9"/>
    <w:rsid w:val="004E017D"/>
    <w:rsid w:val="004E0B42"/>
    <w:rsid w:val="004E17A6"/>
    <w:rsid w:val="004E1942"/>
    <w:rsid w:val="004E2BB8"/>
    <w:rsid w:val="004E2C00"/>
    <w:rsid w:val="004E2C46"/>
    <w:rsid w:val="004E4145"/>
    <w:rsid w:val="004E425A"/>
    <w:rsid w:val="004E4A29"/>
    <w:rsid w:val="004E6F4E"/>
    <w:rsid w:val="004F0630"/>
    <w:rsid w:val="004F18FF"/>
    <w:rsid w:val="004F278B"/>
    <w:rsid w:val="004F5081"/>
    <w:rsid w:val="004F67ED"/>
    <w:rsid w:val="004F6CA3"/>
    <w:rsid w:val="004F6E0F"/>
    <w:rsid w:val="004F71A2"/>
    <w:rsid w:val="005000ED"/>
    <w:rsid w:val="00500EA1"/>
    <w:rsid w:val="005018D2"/>
    <w:rsid w:val="00503BA4"/>
    <w:rsid w:val="0050430E"/>
    <w:rsid w:val="005045A5"/>
    <w:rsid w:val="00504638"/>
    <w:rsid w:val="00505013"/>
    <w:rsid w:val="005051F7"/>
    <w:rsid w:val="00507370"/>
    <w:rsid w:val="005076B4"/>
    <w:rsid w:val="00510E74"/>
    <w:rsid w:val="00511262"/>
    <w:rsid w:val="00511835"/>
    <w:rsid w:val="0051376F"/>
    <w:rsid w:val="00513D5B"/>
    <w:rsid w:val="005141B8"/>
    <w:rsid w:val="005148E1"/>
    <w:rsid w:val="00515DF8"/>
    <w:rsid w:val="00516749"/>
    <w:rsid w:val="00517888"/>
    <w:rsid w:val="00520716"/>
    <w:rsid w:val="00520EC3"/>
    <w:rsid w:val="005223E6"/>
    <w:rsid w:val="00524AC1"/>
    <w:rsid w:val="00524AD0"/>
    <w:rsid w:val="005257CC"/>
    <w:rsid w:val="00525E36"/>
    <w:rsid w:val="00527573"/>
    <w:rsid w:val="00527B98"/>
    <w:rsid w:val="00527DEF"/>
    <w:rsid w:val="0053299F"/>
    <w:rsid w:val="005339F8"/>
    <w:rsid w:val="00533DE3"/>
    <w:rsid w:val="00534CFB"/>
    <w:rsid w:val="00535A32"/>
    <w:rsid w:val="005360E8"/>
    <w:rsid w:val="00536668"/>
    <w:rsid w:val="00537765"/>
    <w:rsid w:val="005426CD"/>
    <w:rsid w:val="00542907"/>
    <w:rsid w:val="0054560F"/>
    <w:rsid w:val="00545F81"/>
    <w:rsid w:val="005465B1"/>
    <w:rsid w:val="005473D1"/>
    <w:rsid w:val="00550713"/>
    <w:rsid w:val="00550B9F"/>
    <w:rsid w:val="00550FC0"/>
    <w:rsid w:val="00552EF0"/>
    <w:rsid w:val="0055302F"/>
    <w:rsid w:val="005532A3"/>
    <w:rsid w:val="00553D5D"/>
    <w:rsid w:val="00555436"/>
    <w:rsid w:val="00555A1F"/>
    <w:rsid w:val="005612E4"/>
    <w:rsid w:val="00562E9B"/>
    <w:rsid w:val="00563AE3"/>
    <w:rsid w:val="00564174"/>
    <w:rsid w:val="00564E24"/>
    <w:rsid w:val="00566040"/>
    <w:rsid w:val="00566B85"/>
    <w:rsid w:val="00566C2B"/>
    <w:rsid w:val="00566C53"/>
    <w:rsid w:val="00566CAA"/>
    <w:rsid w:val="00566E49"/>
    <w:rsid w:val="00567B34"/>
    <w:rsid w:val="00567DEA"/>
    <w:rsid w:val="005705D1"/>
    <w:rsid w:val="00571545"/>
    <w:rsid w:val="005715AE"/>
    <w:rsid w:val="00571DD8"/>
    <w:rsid w:val="00571DEA"/>
    <w:rsid w:val="005731EF"/>
    <w:rsid w:val="005763B0"/>
    <w:rsid w:val="00576B9A"/>
    <w:rsid w:val="005779D8"/>
    <w:rsid w:val="00580BB3"/>
    <w:rsid w:val="005814B9"/>
    <w:rsid w:val="00581503"/>
    <w:rsid w:val="00581A93"/>
    <w:rsid w:val="00582D4A"/>
    <w:rsid w:val="005832B7"/>
    <w:rsid w:val="00583C42"/>
    <w:rsid w:val="0058427A"/>
    <w:rsid w:val="00584A5E"/>
    <w:rsid w:val="00584B3E"/>
    <w:rsid w:val="005851F4"/>
    <w:rsid w:val="00585709"/>
    <w:rsid w:val="00585BAE"/>
    <w:rsid w:val="005864E9"/>
    <w:rsid w:val="00586B35"/>
    <w:rsid w:val="00586D74"/>
    <w:rsid w:val="005872A7"/>
    <w:rsid w:val="005876AE"/>
    <w:rsid w:val="00587980"/>
    <w:rsid w:val="00587D6D"/>
    <w:rsid w:val="00590021"/>
    <w:rsid w:val="00591D81"/>
    <w:rsid w:val="005929E7"/>
    <w:rsid w:val="00593BE2"/>
    <w:rsid w:val="005944FD"/>
    <w:rsid w:val="00595BF4"/>
    <w:rsid w:val="005971B5"/>
    <w:rsid w:val="005974C8"/>
    <w:rsid w:val="005A0544"/>
    <w:rsid w:val="005A1289"/>
    <w:rsid w:val="005A1DC0"/>
    <w:rsid w:val="005A3AF6"/>
    <w:rsid w:val="005A3BF4"/>
    <w:rsid w:val="005A47D3"/>
    <w:rsid w:val="005A58E3"/>
    <w:rsid w:val="005A608B"/>
    <w:rsid w:val="005A6628"/>
    <w:rsid w:val="005B18CF"/>
    <w:rsid w:val="005B261A"/>
    <w:rsid w:val="005B32A4"/>
    <w:rsid w:val="005B3FD3"/>
    <w:rsid w:val="005B41C5"/>
    <w:rsid w:val="005B49B7"/>
    <w:rsid w:val="005B52BC"/>
    <w:rsid w:val="005B60D4"/>
    <w:rsid w:val="005B62EC"/>
    <w:rsid w:val="005C2027"/>
    <w:rsid w:val="005C2E01"/>
    <w:rsid w:val="005C303C"/>
    <w:rsid w:val="005C3F34"/>
    <w:rsid w:val="005C4048"/>
    <w:rsid w:val="005C5436"/>
    <w:rsid w:val="005C6F96"/>
    <w:rsid w:val="005C7B41"/>
    <w:rsid w:val="005C7C87"/>
    <w:rsid w:val="005D0A8D"/>
    <w:rsid w:val="005D0F1C"/>
    <w:rsid w:val="005D21AE"/>
    <w:rsid w:val="005D21D3"/>
    <w:rsid w:val="005D2D49"/>
    <w:rsid w:val="005D4187"/>
    <w:rsid w:val="005D4A65"/>
    <w:rsid w:val="005D5455"/>
    <w:rsid w:val="005D565F"/>
    <w:rsid w:val="005D5927"/>
    <w:rsid w:val="005D5937"/>
    <w:rsid w:val="005D6F4B"/>
    <w:rsid w:val="005E0830"/>
    <w:rsid w:val="005E20D0"/>
    <w:rsid w:val="005E27F9"/>
    <w:rsid w:val="005E389F"/>
    <w:rsid w:val="005E427A"/>
    <w:rsid w:val="005E4CA5"/>
    <w:rsid w:val="005E53DA"/>
    <w:rsid w:val="005E5C6A"/>
    <w:rsid w:val="005E7096"/>
    <w:rsid w:val="005F06CC"/>
    <w:rsid w:val="005F10E1"/>
    <w:rsid w:val="005F14A0"/>
    <w:rsid w:val="005F1ACD"/>
    <w:rsid w:val="005F297C"/>
    <w:rsid w:val="005F3698"/>
    <w:rsid w:val="005F4285"/>
    <w:rsid w:val="005F4835"/>
    <w:rsid w:val="005F50C4"/>
    <w:rsid w:val="005F5216"/>
    <w:rsid w:val="005F5B60"/>
    <w:rsid w:val="005F5EEA"/>
    <w:rsid w:val="005F68AD"/>
    <w:rsid w:val="0060244F"/>
    <w:rsid w:val="00602A02"/>
    <w:rsid w:val="00603107"/>
    <w:rsid w:val="0060746D"/>
    <w:rsid w:val="00607EAF"/>
    <w:rsid w:val="006105E6"/>
    <w:rsid w:val="00611079"/>
    <w:rsid w:val="006128D0"/>
    <w:rsid w:val="00612F67"/>
    <w:rsid w:val="00616C5D"/>
    <w:rsid w:val="006205D4"/>
    <w:rsid w:val="00620EED"/>
    <w:rsid w:val="0062216D"/>
    <w:rsid w:val="00622837"/>
    <w:rsid w:val="006236E2"/>
    <w:rsid w:val="00623A29"/>
    <w:rsid w:val="00625F16"/>
    <w:rsid w:val="006265D6"/>
    <w:rsid w:val="006302BD"/>
    <w:rsid w:val="00630380"/>
    <w:rsid w:val="00630982"/>
    <w:rsid w:val="00630BD9"/>
    <w:rsid w:val="00632C8E"/>
    <w:rsid w:val="006336F4"/>
    <w:rsid w:val="00633E2F"/>
    <w:rsid w:val="00634EAA"/>
    <w:rsid w:val="00636963"/>
    <w:rsid w:val="006375DF"/>
    <w:rsid w:val="00637923"/>
    <w:rsid w:val="00637D19"/>
    <w:rsid w:val="00637D7F"/>
    <w:rsid w:val="0064049E"/>
    <w:rsid w:val="00641009"/>
    <w:rsid w:val="006410D2"/>
    <w:rsid w:val="006444C2"/>
    <w:rsid w:val="00644D8E"/>
    <w:rsid w:val="00647018"/>
    <w:rsid w:val="006511AF"/>
    <w:rsid w:val="006526CB"/>
    <w:rsid w:val="00652799"/>
    <w:rsid w:val="00652C71"/>
    <w:rsid w:val="00652CD5"/>
    <w:rsid w:val="006535C4"/>
    <w:rsid w:val="00654747"/>
    <w:rsid w:val="00655116"/>
    <w:rsid w:val="00656500"/>
    <w:rsid w:val="006568C7"/>
    <w:rsid w:val="006600AF"/>
    <w:rsid w:val="0066092C"/>
    <w:rsid w:val="00660C31"/>
    <w:rsid w:val="00662789"/>
    <w:rsid w:val="00662F6F"/>
    <w:rsid w:val="00664702"/>
    <w:rsid w:val="00665018"/>
    <w:rsid w:val="0066505B"/>
    <w:rsid w:val="00666CDD"/>
    <w:rsid w:val="006674D1"/>
    <w:rsid w:val="0067063E"/>
    <w:rsid w:val="00670ADF"/>
    <w:rsid w:val="00670BDB"/>
    <w:rsid w:val="00672501"/>
    <w:rsid w:val="00672826"/>
    <w:rsid w:val="00674FEE"/>
    <w:rsid w:val="0067549B"/>
    <w:rsid w:val="00675F04"/>
    <w:rsid w:val="00676FB6"/>
    <w:rsid w:val="0067736F"/>
    <w:rsid w:val="00677996"/>
    <w:rsid w:val="00677F3C"/>
    <w:rsid w:val="006801FF"/>
    <w:rsid w:val="00680DBA"/>
    <w:rsid w:val="00681768"/>
    <w:rsid w:val="006817DF"/>
    <w:rsid w:val="00681D70"/>
    <w:rsid w:val="00682704"/>
    <w:rsid w:val="00682EA5"/>
    <w:rsid w:val="00683651"/>
    <w:rsid w:val="00683779"/>
    <w:rsid w:val="006837FE"/>
    <w:rsid w:val="00683B94"/>
    <w:rsid w:val="00683D55"/>
    <w:rsid w:val="00684024"/>
    <w:rsid w:val="00684090"/>
    <w:rsid w:val="0068409B"/>
    <w:rsid w:val="006852CD"/>
    <w:rsid w:val="006855C1"/>
    <w:rsid w:val="00685DD7"/>
    <w:rsid w:val="00686700"/>
    <w:rsid w:val="0068735E"/>
    <w:rsid w:val="006901A1"/>
    <w:rsid w:val="00691819"/>
    <w:rsid w:val="006921F5"/>
    <w:rsid w:val="0069247F"/>
    <w:rsid w:val="006930D8"/>
    <w:rsid w:val="00693279"/>
    <w:rsid w:val="0069518F"/>
    <w:rsid w:val="0069637C"/>
    <w:rsid w:val="006968C3"/>
    <w:rsid w:val="006977D1"/>
    <w:rsid w:val="0069792D"/>
    <w:rsid w:val="006A1FE5"/>
    <w:rsid w:val="006A2303"/>
    <w:rsid w:val="006A24C1"/>
    <w:rsid w:val="006A3B30"/>
    <w:rsid w:val="006A4980"/>
    <w:rsid w:val="006A51D7"/>
    <w:rsid w:val="006A5A63"/>
    <w:rsid w:val="006A6705"/>
    <w:rsid w:val="006B0BFB"/>
    <w:rsid w:val="006B1860"/>
    <w:rsid w:val="006B23E6"/>
    <w:rsid w:val="006B2E56"/>
    <w:rsid w:val="006B30C4"/>
    <w:rsid w:val="006B36FB"/>
    <w:rsid w:val="006B3A3A"/>
    <w:rsid w:val="006B5253"/>
    <w:rsid w:val="006B6352"/>
    <w:rsid w:val="006B6BD1"/>
    <w:rsid w:val="006B702C"/>
    <w:rsid w:val="006B778C"/>
    <w:rsid w:val="006C04FF"/>
    <w:rsid w:val="006C0F59"/>
    <w:rsid w:val="006C12C9"/>
    <w:rsid w:val="006C1FC7"/>
    <w:rsid w:val="006C2285"/>
    <w:rsid w:val="006C2A04"/>
    <w:rsid w:val="006C2FD9"/>
    <w:rsid w:val="006C4C19"/>
    <w:rsid w:val="006C661A"/>
    <w:rsid w:val="006D0C06"/>
    <w:rsid w:val="006D0C6D"/>
    <w:rsid w:val="006D0F58"/>
    <w:rsid w:val="006D1523"/>
    <w:rsid w:val="006D4787"/>
    <w:rsid w:val="006D5D5C"/>
    <w:rsid w:val="006D6C5E"/>
    <w:rsid w:val="006D79F5"/>
    <w:rsid w:val="006E0F06"/>
    <w:rsid w:val="006E1DD2"/>
    <w:rsid w:val="006E2BED"/>
    <w:rsid w:val="006E6641"/>
    <w:rsid w:val="006E7429"/>
    <w:rsid w:val="006F03C8"/>
    <w:rsid w:val="006F0A66"/>
    <w:rsid w:val="006F2497"/>
    <w:rsid w:val="006F2957"/>
    <w:rsid w:val="006F354D"/>
    <w:rsid w:val="006F3F63"/>
    <w:rsid w:val="006F4A23"/>
    <w:rsid w:val="006F4A4E"/>
    <w:rsid w:val="006F5387"/>
    <w:rsid w:val="006F7BDC"/>
    <w:rsid w:val="006F7E41"/>
    <w:rsid w:val="00700397"/>
    <w:rsid w:val="007006E8"/>
    <w:rsid w:val="00700A0C"/>
    <w:rsid w:val="0070144A"/>
    <w:rsid w:val="00703C7E"/>
    <w:rsid w:val="00705757"/>
    <w:rsid w:val="00707493"/>
    <w:rsid w:val="00707A3C"/>
    <w:rsid w:val="00710457"/>
    <w:rsid w:val="00710E75"/>
    <w:rsid w:val="007113D7"/>
    <w:rsid w:val="00712693"/>
    <w:rsid w:val="007140DA"/>
    <w:rsid w:val="00717553"/>
    <w:rsid w:val="00717879"/>
    <w:rsid w:val="0072051F"/>
    <w:rsid w:val="007216DA"/>
    <w:rsid w:val="00723296"/>
    <w:rsid w:val="007249D8"/>
    <w:rsid w:val="00724FED"/>
    <w:rsid w:val="0072637D"/>
    <w:rsid w:val="00726A7C"/>
    <w:rsid w:val="007272E9"/>
    <w:rsid w:val="00727B35"/>
    <w:rsid w:val="007302F5"/>
    <w:rsid w:val="007306CE"/>
    <w:rsid w:val="00731103"/>
    <w:rsid w:val="0073134A"/>
    <w:rsid w:val="00732670"/>
    <w:rsid w:val="00733C46"/>
    <w:rsid w:val="00734387"/>
    <w:rsid w:val="00734461"/>
    <w:rsid w:val="00735B0D"/>
    <w:rsid w:val="00736033"/>
    <w:rsid w:val="00736569"/>
    <w:rsid w:val="0073678D"/>
    <w:rsid w:val="007368AE"/>
    <w:rsid w:val="00737A58"/>
    <w:rsid w:val="007403E2"/>
    <w:rsid w:val="00740C3F"/>
    <w:rsid w:val="00741F60"/>
    <w:rsid w:val="007424C1"/>
    <w:rsid w:val="00742E3C"/>
    <w:rsid w:val="007436C4"/>
    <w:rsid w:val="00746391"/>
    <w:rsid w:val="0074656E"/>
    <w:rsid w:val="00746F7B"/>
    <w:rsid w:val="0074704D"/>
    <w:rsid w:val="00747255"/>
    <w:rsid w:val="0075163D"/>
    <w:rsid w:val="00751AEB"/>
    <w:rsid w:val="00752C07"/>
    <w:rsid w:val="007543FA"/>
    <w:rsid w:val="007551D4"/>
    <w:rsid w:val="00756660"/>
    <w:rsid w:val="00756CD7"/>
    <w:rsid w:val="007570C6"/>
    <w:rsid w:val="00760253"/>
    <w:rsid w:val="0076078B"/>
    <w:rsid w:val="007611DE"/>
    <w:rsid w:val="00762A41"/>
    <w:rsid w:val="007641A3"/>
    <w:rsid w:val="007641F6"/>
    <w:rsid w:val="0076437F"/>
    <w:rsid w:val="00765CB0"/>
    <w:rsid w:val="00765DF6"/>
    <w:rsid w:val="007669F8"/>
    <w:rsid w:val="00766A9E"/>
    <w:rsid w:val="00770189"/>
    <w:rsid w:val="00770669"/>
    <w:rsid w:val="00770E79"/>
    <w:rsid w:val="00772312"/>
    <w:rsid w:val="00772D4D"/>
    <w:rsid w:val="0077415A"/>
    <w:rsid w:val="0077464A"/>
    <w:rsid w:val="00774ACB"/>
    <w:rsid w:val="00774DBF"/>
    <w:rsid w:val="00775F19"/>
    <w:rsid w:val="00776C53"/>
    <w:rsid w:val="00777010"/>
    <w:rsid w:val="007776A1"/>
    <w:rsid w:val="007810D5"/>
    <w:rsid w:val="00781348"/>
    <w:rsid w:val="00781667"/>
    <w:rsid w:val="0078178A"/>
    <w:rsid w:val="00781FBA"/>
    <w:rsid w:val="007837E9"/>
    <w:rsid w:val="00783E22"/>
    <w:rsid w:val="007848A0"/>
    <w:rsid w:val="007848C5"/>
    <w:rsid w:val="0078580C"/>
    <w:rsid w:val="00785C41"/>
    <w:rsid w:val="007861BB"/>
    <w:rsid w:val="0078720D"/>
    <w:rsid w:val="0078763F"/>
    <w:rsid w:val="007876AD"/>
    <w:rsid w:val="007905A1"/>
    <w:rsid w:val="00791141"/>
    <w:rsid w:val="00792394"/>
    <w:rsid w:val="0079369E"/>
    <w:rsid w:val="00794659"/>
    <w:rsid w:val="0079468A"/>
    <w:rsid w:val="0079778B"/>
    <w:rsid w:val="00797841"/>
    <w:rsid w:val="007A16AF"/>
    <w:rsid w:val="007A23AD"/>
    <w:rsid w:val="007A23B1"/>
    <w:rsid w:val="007A27EC"/>
    <w:rsid w:val="007A2F09"/>
    <w:rsid w:val="007A3437"/>
    <w:rsid w:val="007A3F7F"/>
    <w:rsid w:val="007A43F3"/>
    <w:rsid w:val="007A7134"/>
    <w:rsid w:val="007A7676"/>
    <w:rsid w:val="007A7E32"/>
    <w:rsid w:val="007A7E6C"/>
    <w:rsid w:val="007B023B"/>
    <w:rsid w:val="007B0E18"/>
    <w:rsid w:val="007B1CEC"/>
    <w:rsid w:val="007B3607"/>
    <w:rsid w:val="007B3944"/>
    <w:rsid w:val="007B3E95"/>
    <w:rsid w:val="007B43A0"/>
    <w:rsid w:val="007B5366"/>
    <w:rsid w:val="007B58A4"/>
    <w:rsid w:val="007B5DDE"/>
    <w:rsid w:val="007B6954"/>
    <w:rsid w:val="007B6B50"/>
    <w:rsid w:val="007B70F6"/>
    <w:rsid w:val="007C03EF"/>
    <w:rsid w:val="007C0938"/>
    <w:rsid w:val="007C1B95"/>
    <w:rsid w:val="007C3037"/>
    <w:rsid w:val="007C3088"/>
    <w:rsid w:val="007C3238"/>
    <w:rsid w:val="007C44D6"/>
    <w:rsid w:val="007C515F"/>
    <w:rsid w:val="007C5BF3"/>
    <w:rsid w:val="007C6C2C"/>
    <w:rsid w:val="007C6C8D"/>
    <w:rsid w:val="007C74B5"/>
    <w:rsid w:val="007C7CBD"/>
    <w:rsid w:val="007C7E47"/>
    <w:rsid w:val="007D122E"/>
    <w:rsid w:val="007D1A61"/>
    <w:rsid w:val="007D1EB8"/>
    <w:rsid w:val="007D21A6"/>
    <w:rsid w:val="007D2708"/>
    <w:rsid w:val="007D2B2A"/>
    <w:rsid w:val="007D33C9"/>
    <w:rsid w:val="007D37B5"/>
    <w:rsid w:val="007D3DE4"/>
    <w:rsid w:val="007D4281"/>
    <w:rsid w:val="007D4C0E"/>
    <w:rsid w:val="007D5016"/>
    <w:rsid w:val="007D520C"/>
    <w:rsid w:val="007D5B9C"/>
    <w:rsid w:val="007D624C"/>
    <w:rsid w:val="007D7326"/>
    <w:rsid w:val="007D7E2B"/>
    <w:rsid w:val="007E08FD"/>
    <w:rsid w:val="007E3F5C"/>
    <w:rsid w:val="007E41DB"/>
    <w:rsid w:val="007E4341"/>
    <w:rsid w:val="007E45D9"/>
    <w:rsid w:val="007E4F82"/>
    <w:rsid w:val="007E58A7"/>
    <w:rsid w:val="007E6FFC"/>
    <w:rsid w:val="007E78F5"/>
    <w:rsid w:val="007E7E71"/>
    <w:rsid w:val="007F0911"/>
    <w:rsid w:val="007F2BF7"/>
    <w:rsid w:val="007F3AF8"/>
    <w:rsid w:val="007F4A85"/>
    <w:rsid w:val="007F5BA1"/>
    <w:rsid w:val="007F5CAF"/>
    <w:rsid w:val="007F6AA1"/>
    <w:rsid w:val="007F6BA1"/>
    <w:rsid w:val="007F76C5"/>
    <w:rsid w:val="007F7A96"/>
    <w:rsid w:val="00800EDE"/>
    <w:rsid w:val="008033AA"/>
    <w:rsid w:val="00803772"/>
    <w:rsid w:val="00803B75"/>
    <w:rsid w:val="0080476A"/>
    <w:rsid w:val="0080506D"/>
    <w:rsid w:val="00807189"/>
    <w:rsid w:val="008075F1"/>
    <w:rsid w:val="00807DDB"/>
    <w:rsid w:val="00810888"/>
    <w:rsid w:val="00811AD5"/>
    <w:rsid w:val="0081260B"/>
    <w:rsid w:val="0081597C"/>
    <w:rsid w:val="008161C0"/>
    <w:rsid w:val="00816796"/>
    <w:rsid w:val="00816B53"/>
    <w:rsid w:val="00817017"/>
    <w:rsid w:val="008175A1"/>
    <w:rsid w:val="00817736"/>
    <w:rsid w:val="00820E05"/>
    <w:rsid w:val="00822576"/>
    <w:rsid w:val="00823C27"/>
    <w:rsid w:val="0082460C"/>
    <w:rsid w:val="0082603D"/>
    <w:rsid w:val="00826DCD"/>
    <w:rsid w:val="00826F1D"/>
    <w:rsid w:val="0082748B"/>
    <w:rsid w:val="00827DCB"/>
    <w:rsid w:val="008303B2"/>
    <w:rsid w:val="008325EC"/>
    <w:rsid w:val="0083568D"/>
    <w:rsid w:val="00835E5E"/>
    <w:rsid w:val="0083627D"/>
    <w:rsid w:val="00840ECE"/>
    <w:rsid w:val="0084275B"/>
    <w:rsid w:val="00842E45"/>
    <w:rsid w:val="0084752D"/>
    <w:rsid w:val="00847C51"/>
    <w:rsid w:val="0085114B"/>
    <w:rsid w:val="008526B5"/>
    <w:rsid w:val="00853153"/>
    <w:rsid w:val="00853CFD"/>
    <w:rsid w:val="00855D6F"/>
    <w:rsid w:val="00855D8A"/>
    <w:rsid w:val="008611DC"/>
    <w:rsid w:val="008635FC"/>
    <w:rsid w:val="00863886"/>
    <w:rsid w:val="008638E2"/>
    <w:rsid w:val="00864441"/>
    <w:rsid w:val="00864639"/>
    <w:rsid w:val="00864925"/>
    <w:rsid w:val="00867068"/>
    <w:rsid w:val="00867149"/>
    <w:rsid w:val="008672D5"/>
    <w:rsid w:val="0086737B"/>
    <w:rsid w:val="008706E6"/>
    <w:rsid w:val="00870B50"/>
    <w:rsid w:val="0087132C"/>
    <w:rsid w:val="00871E01"/>
    <w:rsid w:val="00872DD5"/>
    <w:rsid w:val="00874E19"/>
    <w:rsid w:val="00875134"/>
    <w:rsid w:val="00876477"/>
    <w:rsid w:val="00876DC9"/>
    <w:rsid w:val="008775BF"/>
    <w:rsid w:val="00877907"/>
    <w:rsid w:val="00880E16"/>
    <w:rsid w:val="00880F05"/>
    <w:rsid w:val="008818A4"/>
    <w:rsid w:val="008830E9"/>
    <w:rsid w:val="00884324"/>
    <w:rsid w:val="0088484C"/>
    <w:rsid w:val="008863B2"/>
    <w:rsid w:val="0088662F"/>
    <w:rsid w:val="0088717F"/>
    <w:rsid w:val="00887E9D"/>
    <w:rsid w:val="008907FC"/>
    <w:rsid w:val="00890B20"/>
    <w:rsid w:val="00890D7A"/>
    <w:rsid w:val="0089157C"/>
    <w:rsid w:val="008915CE"/>
    <w:rsid w:val="00891BEE"/>
    <w:rsid w:val="0089254C"/>
    <w:rsid w:val="00894197"/>
    <w:rsid w:val="008951C4"/>
    <w:rsid w:val="00895FFA"/>
    <w:rsid w:val="00897C9B"/>
    <w:rsid w:val="008A01E2"/>
    <w:rsid w:val="008A0E29"/>
    <w:rsid w:val="008A3E45"/>
    <w:rsid w:val="008A4D27"/>
    <w:rsid w:val="008A5D55"/>
    <w:rsid w:val="008A5DF4"/>
    <w:rsid w:val="008A64EB"/>
    <w:rsid w:val="008A64EC"/>
    <w:rsid w:val="008A6854"/>
    <w:rsid w:val="008A7244"/>
    <w:rsid w:val="008B0076"/>
    <w:rsid w:val="008B110D"/>
    <w:rsid w:val="008B157E"/>
    <w:rsid w:val="008B2056"/>
    <w:rsid w:val="008B2107"/>
    <w:rsid w:val="008B2505"/>
    <w:rsid w:val="008B2690"/>
    <w:rsid w:val="008B3626"/>
    <w:rsid w:val="008B397B"/>
    <w:rsid w:val="008B4173"/>
    <w:rsid w:val="008B47E7"/>
    <w:rsid w:val="008B50FA"/>
    <w:rsid w:val="008B5A59"/>
    <w:rsid w:val="008C4B19"/>
    <w:rsid w:val="008C6C93"/>
    <w:rsid w:val="008C74A4"/>
    <w:rsid w:val="008C7BA9"/>
    <w:rsid w:val="008D0A6D"/>
    <w:rsid w:val="008D0F50"/>
    <w:rsid w:val="008D1417"/>
    <w:rsid w:val="008D1717"/>
    <w:rsid w:val="008D190B"/>
    <w:rsid w:val="008D3457"/>
    <w:rsid w:val="008D3CAA"/>
    <w:rsid w:val="008D4E38"/>
    <w:rsid w:val="008D54AA"/>
    <w:rsid w:val="008D54F1"/>
    <w:rsid w:val="008D67BC"/>
    <w:rsid w:val="008D75BD"/>
    <w:rsid w:val="008D7836"/>
    <w:rsid w:val="008E0EF1"/>
    <w:rsid w:val="008E15BD"/>
    <w:rsid w:val="008E46E6"/>
    <w:rsid w:val="008E5DD2"/>
    <w:rsid w:val="008E65E0"/>
    <w:rsid w:val="008E732D"/>
    <w:rsid w:val="008E7B86"/>
    <w:rsid w:val="008F0BEE"/>
    <w:rsid w:val="008F11CB"/>
    <w:rsid w:val="008F12B4"/>
    <w:rsid w:val="008F2C8D"/>
    <w:rsid w:val="008F3810"/>
    <w:rsid w:val="008F5020"/>
    <w:rsid w:val="008F52D4"/>
    <w:rsid w:val="008F550D"/>
    <w:rsid w:val="008F65CD"/>
    <w:rsid w:val="009005F4"/>
    <w:rsid w:val="0090146D"/>
    <w:rsid w:val="00903424"/>
    <w:rsid w:val="00904196"/>
    <w:rsid w:val="00907BD0"/>
    <w:rsid w:val="009103A4"/>
    <w:rsid w:val="0091096C"/>
    <w:rsid w:val="00911EC8"/>
    <w:rsid w:val="0091210B"/>
    <w:rsid w:val="00913080"/>
    <w:rsid w:val="009140C1"/>
    <w:rsid w:val="00914875"/>
    <w:rsid w:val="0091556B"/>
    <w:rsid w:val="00916237"/>
    <w:rsid w:val="00916FCE"/>
    <w:rsid w:val="0091721C"/>
    <w:rsid w:val="00917BC5"/>
    <w:rsid w:val="00920B19"/>
    <w:rsid w:val="009248C5"/>
    <w:rsid w:val="00925A4E"/>
    <w:rsid w:val="00926334"/>
    <w:rsid w:val="009271F7"/>
    <w:rsid w:val="009273CD"/>
    <w:rsid w:val="0093001D"/>
    <w:rsid w:val="00930634"/>
    <w:rsid w:val="00932D57"/>
    <w:rsid w:val="009335A4"/>
    <w:rsid w:val="00934F73"/>
    <w:rsid w:val="00936959"/>
    <w:rsid w:val="00936CD4"/>
    <w:rsid w:val="00941F10"/>
    <w:rsid w:val="00942B56"/>
    <w:rsid w:val="00943141"/>
    <w:rsid w:val="00945A38"/>
    <w:rsid w:val="00946291"/>
    <w:rsid w:val="0094753C"/>
    <w:rsid w:val="009475F8"/>
    <w:rsid w:val="00947C9F"/>
    <w:rsid w:val="00950148"/>
    <w:rsid w:val="009533DC"/>
    <w:rsid w:val="009543AB"/>
    <w:rsid w:val="00956414"/>
    <w:rsid w:val="00956681"/>
    <w:rsid w:val="009609B2"/>
    <w:rsid w:val="0096139D"/>
    <w:rsid w:val="009624D7"/>
    <w:rsid w:val="00963561"/>
    <w:rsid w:val="0096367D"/>
    <w:rsid w:val="00964785"/>
    <w:rsid w:val="0096571F"/>
    <w:rsid w:val="009665E0"/>
    <w:rsid w:val="009711D0"/>
    <w:rsid w:val="00971C39"/>
    <w:rsid w:val="00972086"/>
    <w:rsid w:val="009728DD"/>
    <w:rsid w:val="00972972"/>
    <w:rsid w:val="009738AC"/>
    <w:rsid w:val="0097411E"/>
    <w:rsid w:val="00974725"/>
    <w:rsid w:val="00974E31"/>
    <w:rsid w:val="009751AD"/>
    <w:rsid w:val="0097680B"/>
    <w:rsid w:val="00980A54"/>
    <w:rsid w:val="00981EB5"/>
    <w:rsid w:val="00981F88"/>
    <w:rsid w:val="00983156"/>
    <w:rsid w:val="009838DB"/>
    <w:rsid w:val="00983979"/>
    <w:rsid w:val="009841AA"/>
    <w:rsid w:val="00984918"/>
    <w:rsid w:val="00986DA4"/>
    <w:rsid w:val="00987521"/>
    <w:rsid w:val="00987A89"/>
    <w:rsid w:val="0099191A"/>
    <w:rsid w:val="00991AFC"/>
    <w:rsid w:val="00991F2D"/>
    <w:rsid w:val="00992F96"/>
    <w:rsid w:val="00993068"/>
    <w:rsid w:val="009947A4"/>
    <w:rsid w:val="00997BCD"/>
    <w:rsid w:val="009A20E5"/>
    <w:rsid w:val="009A3617"/>
    <w:rsid w:val="009A5798"/>
    <w:rsid w:val="009A58C4"/>
    <w:rsid w:val="009A6FAE"/>
    <w:rsid w:val="009A75DA"/>
    <w:rsid w:val="009A77FC"/>
    <w:rsid w:val="009B0365"/>
    <w:rsid w:val="009B056B"/>
    <w:rsid w:val="009B0CDA"/>
    <w:rsid w:val="009B3B2D"/>
    <w:rsid w:val="009B4479"/>
    <w:rsid w:val="009B5812"/>
    <w:rsid w:val="009B67BE"/>
    <w:rsid w:val="009B685F"/>
    <w:rsid w:val="009B6A57"/>
    <w:rsid w:val="009B6C22"/>
    <w:rsid w:val="009B7172"/>
    <w:rsid w:val="009B7FA9"/>
    <w:rsid w:val="009C04AC"/>
    <w:rsid w:val="009C0682"/>
    <w:rsid w:val="009C0A6D"/>
    <w:rsid w:val="009C21F7"/>
    <w:rsid w:val="009C2CDF"/>
    <w:rsid w:val="009C2DDB"/>
    <w:rsid w:val="009C55D6"/>
    <w:rsid w:val="009C5FC6"/>
    <w:rsid w:val="009C629F"/>
    <w:rsid w:val="009C6C8E"/>
    <w:rsid w:val="009C7308"/>
    <w:rsid w:val="009D0E9B"/>
    <w:rsid w:val="009D111D"/>
    <w:rsid w:val="009D249B"/>
    <w:rsid w:val="009D3BD0"/>
    <w:rsid w:val="009D3FC3"/>
    <w:rsid w:val="009D4492"/>
    <w:rsid w:val="009D4D26"/>
    <w:rsid w:val="009D7324"/>
    <w:rsid w:val="009D73DB"/>
    <w:rsid w:val="009D743A"/>
    <w:rsid w:val="009D7D47"/>
    <w:rsid w:val="009D7EDA"/>
    <w:rsid w:val="009E10C3"/>
    <w:rsid w:val="009E12DB"/>
    <w:rsid w:val="009E1D66"/>
    <w:rsid w:val="009E250B"/>
    <w:rsid w:val="009E3775"/>
    <w:rsid w:val="009E3ABB"/>
    <w:rsid w:val="009E3C9B"/>
    <w:rsid w:val="009E559B"/>
    <w:rsid w:val="009E573D"/>
    <w:rsid w:val="009E5A67"/>
    <w:rsid w:val="009F0CC4"/>
    <w:rsid w:val="009F0DDD"/>
    <w:rsid w:val="009F0FB1"/>
    <w:rsid w:val="009F1250"/>
    <w:rsid w:val="009F15B3"/>
    <w:rsid w:val="009F23C8"/>
    <w:rsid w:val="009F2515"/>
    <w:rsid w:val="009F2C56"/>
    <w:rsid w:val="009F3C95"/>
    <w:rsid w:val="009F4510"/>
    <w:rsid w:val="009F48B3"/>
    <w:rsid w:val="009F6D33"/>
    <w:rsid w:val="009F7B5A"/>
    <w:rsid w:val="009F7D33"/>
    <w:rsid w:val="00A000F8"/>
    <w:rsid w:val="00A011C8"/>
    <w:rsid w:val="00A01DCE"/>
    <w:rsid w:val="00A02B1C"/>
    <w:rsid w:val="00A02F85"/>
    <w:rsid w:val="00A04AD2"/>
    <w:rsid w:val="00A051C8"/>
    <w:rsid w:val="00A05F20"/>
    <w:rsid w:val="00A06214"/>
    <w:rsid w:val="00A070E0"/>
    <w:rsid w:val="00A0769D"/>
    <w:rsid w:val="00A07D61"/>
    <w:rsid w:val="00A1045A"/>
    <w:rsid w:val="00A10F3B"/>
    <w:rsid w:val="00A11500"/>
    <w:rsid w:val="00A13284"/>
    <w:rsid w:val="00A157AB"/>
    <w:rsid w:val="00A1798B"/>
    <w:rsid w:val="00A20423"/>
    <w:rsid w:val="00A20E9C"/>
    <w:rsid w:val="00A21024"/>
    <w:rsid w:val="00A219E8"/>
    <w:rsid w:val="00A21A6D"/>
    <w:rsid w:val="00A23642"/>
    <w:rsid w:val="00A23647"/>
    <w:rsid w:val="00A23D71"/>
    <w:rsid w:val="00A23F5B"/>
    <w:rsid w:val="00A23F64"/>
    <w:rsid w:val="00A24731"/>
    <w:rsid w:val="00A24A1B"/>
    <w:rsid w:val="00A2667D"/>
    <w:rsid w:val="00A271D1"/>
    <w:rsid w:val="00A272A7"/>
    <w:rsid w:val="00A30881"/>
    <w:rsid w:val="00A3198C"/>
    <w:rsid w:val="00A31E17"/>
    <w:rsid w:val="00A3249F"/>
    <w:rsid w:val="00A33287"/>
    <w:rsid w:val="00A334EE"/>
    <w:rsid w:val="00A33B21"/>
    <w:rsid w:val="00A34E27"/>
    <w:rsid w:val="00A353D0"/>
    <w:rsid w:val="00A373DC"/>
    <w:rsid w:val="00A378B4"/>
    <w:rsid w:val="00A400F8"/>
    <w:rsid w:val="00A40E02"/>
    <w:rsid w:val="00A41288"/>
    <w:rsid w:val="00A413ED"/>
    <w:rsid w:val="00A422E5"/>
    <w:rsid w:val="00A439B2"/>
    <w:rsid w:val="00A44041"/>
    <w:rsid w:val="00A447D8"/>
    <w:rsid w:val="00A448D5"/>
    <w:rsid w:val="00A44FDE"/>
    <w:rsid w:val="00A468FB"/>
    <w:rsid w:val="00A477B7"/>
    <w:rsid w:val="00A502E0"/>
    <w:rsid w:val="00A50923"/>
    <w:rsid w:val="00A515E5"/>
    <w:rsid w:val="00A524A8"/>
    <w:rsid w:val="00A5289D"/>
    <w:rsid w:val="00A52AD6"/>
    <w:rsid w:val="00A53884"/>
    <w:rsid w:val="00A55C1E"/>
    <w:rsid w:val="00A57B71"/>
    <w:rsid w:val="00A61587"/>
    <w:rsid w:val="00A62082"/>
    <w:rsid w:val="00A62197"/>
    <w:rsid w:val="00A63EC5"/>
    <w:rsid w:val="00A64312"/>
    <w:rsid w:val="00A65B79"/>
    <w:rsid w:val="00A66476"/>
    <w:rsid w:val="00A66EBC"/>
    <w:rsid w:val="00A678FE"/>
    <w:rsid w:val="00A67F43"/>
    <w:rsid w:val="00A701C7"/>
    <w:rsid w:val="00A7059A"/>
    <w:rsid w:val="00A70FFE"/>
    <w:rsid w:val="00A7116F"/>
    <w:rsid w:val="00A72B06"/>
    <w:rsid w:val="00A73F3F"/>
    <w:rsid w:val="00A75155"/>
    <w:rsid w:val="00A753D4"/>
    <w:rsid w:val="00A754DF"/>
    <w:rsid w:val="00A76D43"/>
    <w:rsid w:val="00A76FEE"/>
    <w:rsid w:val="00A77EA1"/>
    <w:rsid w:val="00A81DD5"/>
    <w:rsid w:val="00A82ED2"/>
    <w:rsid w:val="00A832C9"/>
    <w:rsid w:val="00A83335"/>
    <w:rsid w:val="00A837EF"/>
    <w:rsid w:val="00A83DA8"/>
    <w:rsid w:val="00A869C5"/>
    <w:rsid w:val="00A86D94"/>
    <w:rsid w:val="00A86EFE"/>
    <w:rsid w:val="00A915D4"/>
    <w:rsid w:val="00A94059"/>
    <w:rsid w:val="00A945F7"/>
    <w:rsid w:val="00A94652"/>
    <w:rsid w:val="00A94AF3"/>
    <w:rsid w:val="00A95A83"/>
    <w:rsid w:val="00A96360"/>
    <w:rsid w:val="00A96801"/>
    <w:rsid w:val="00AA2581"/>
    <w:rsid w:val="00AA3D2F"/>
    <w:rsid w:val="00AA5150"/>
    <w:rsid w:val="00AA5A9F"/>
    <w:rsid w:val="00AA62F9"/>
    <w:rsid w:val="00AA730C"/>
    <w:rsid w:val="00AA7E2D"/>
    <w:rsid w:val="00AB100A"/>
    <w:rsid w:val="00AB2656"/>
    <w:rsid w:val="00AB2832"/>
    <w:rsid w:val="00AB56A9"/>
    <w:rsid w:val="00AB5C70"/>
    <w:rsid w:val="00AB5F86"/>
    <w:rsid w:val="00AB6EF9"/>
    <w:rsid w:val="00AC3840"/>
    <w:rsid w:val="00AC3DAE"/>
    <w:rsid w:val="00AC4167"/>
    <w:rsid w:val="00AC4889"/>
    <w:rsid w:val="00AC53B1"/>
    <w:rsid w:val="00AC5AAD"/>
    <w:rsid w:val="00AC6768"/>
    <w:rsid w:val="00AC6C4B"/>
    <w:rsid w:val="00AC73CF"/>
    <w:rsid w:val="00AC7465"/>
    <w:rsid w:val="00AD0566"/>
    <w:rsid w:val="00AD1DC0"/>
    <w:rsid w:val="00AD1E85"/>
    <w:rsid w:val="00AD31B1"/>
    <w:rsid w:val="00AD3582"/>
    <w:rsid w:val="00AD39A9"/>
    <w:rsid w:val="00AE0461"/>
    <w:rsid w:val="00AE0D7E"/>
    <w:rsid w:val="00AE0FB2"/>
    <w:rsid w:val="00AE205E"/>
    <w:rsid w:val="00AE211C"/>
    <w:rsid w:val="00AE3DCF"/>
    <w:rsid w:val="00AE3F2E"/>
    <w:rsid w:val="00AE40E8"/>
    <w:rsid w:val="00AE5806"/>
    <w:rsid w:val="00AF0B85"/>
    <w:rsid w:val="00AF24FC"/>
    <w:rsid w:val="00AF3C99"/>
    <w:rsid w:val="00AF6BF1"/>
    <w:rsid w:val="00AF70EE"/>
    <w:rsid w:val="00B03A81"/>
    <w:rsid w:val="00B03FF9"/>
    <w:rsid w:val="00B042D3"/>
    <w:rsid w:val="00B044F9"/>
    <w:rsid w:val="00B0501D"/>
    <w:rsid w:val="00B07221"/>
    <w:rsid w:val="00B11CAD"/>
    <w:rsid w:val="00B12FB8"/>
    <w:rsid w:val="00B13446"/>
    <w:rsid w:val="00B13FD5"/>
    <w:rsid w:val="00B14546"/>
    <w:rsid w:val="00B14711"/>
    <w:rsid w:val="00B14DD9"/>
    <w:rsid w:val="00B153D9"/>
    <w:rsid w:val="00B15834"/>
    <w:rsid w:val="00B15CAB"/>
    <w:rsid w:val="00B16856"/>
    <w:rsid w:val="00B16FC5"/>
    <w:rsid w:val="00B17D57"/>
    <w:rsid w:val="00B20B02"/>
    <w:rsid w:val="00B214A6"/>
    <w:rsid w:val="00B22812"/>
    <w:rsid w:val="00B25BC7"/>
    <w:rsid w:val="00B25E4B"/>
    <w:rsid w:val="00B25FC1"/>
    <w:rsid w:val="00B26FCE"/>
    <w:rsid w:val="00B274B8"/>
    <w:rsid w:val="00B27E73"/>
    <w:rsid w:val="00B30C09"/>
    <w:rsid w:val="00B339B2"/>
    <w:rsid w:val="00B33FA4"/>
    <w:rsid w:val="00B34958"/>
    <w:rsid w:val="00B35430"/>
    <w:rsid w:val="00B35F66"/>
    <w:rsid w:val="00B3692E"/>
    <w:rsid w:val="00B374AB"/>
    <w:rsid w:val="00B374C4"/>
    <w:rsid w:val="00B37A03"/>
    <w:rsid w:val="00B4013F"/>
    <w:rsid w:val="00B44158"/>
    <w:rsid w:val="00B44181"/>
    <w:rsid w:val="00B45238"/>
    <w:rsid w:val="00B4580E"/>
    <w:rsid w:val="00B45D0F"/>
    <w:rsid w:val="00B45D19"/>
    <w:rsid w:val="00B46221"/>
    <w:rsid w:val="00B4681B"/>
    <w:rsid w:val="00B473BE"/>
    <w:rsid w:val="00B4775E"/>
    <w:rsid w:val="00B50469"/>
    <w:rsid w:val="00B50D0F"/>
    <w:rsid w:val="00B5163C"/>
    <w:rsid w:val="00B51F13"/>
    <w:rsid w:val="00B521B2"/>
    <w:rsid w:val="00B52827"/>
    <w:rsid w:val="00B52CFA"/>
    <w:rsid w:val="00B5351D"/>
    <w:rsid w:val="00B54143"/>
    <w:rsid w:val="00B54711"/>
    <w:rsid w:val="00B56359"/>
    <w:rsid w:val="00B57DDB"/>
    <w:rsid w:val="00B60787"/>
    <w:rsid w:val="00B61898"/>
    <w:rsid w:val="00B62CCF"/>
    <w:rsid w:val="00B669FE"/>
    <w:rsid w:val="00B6781A"/>
    <w:rsid w:val="00B67A00"/>
    <w:rsid w:val="00B67EEE"/>
    <w:rsid w:val="00B70151"/>
    <w:rsid w:val="00B701B6"/>
    <w:rsid w:val="00B72541"/>
    <w:rsid w:val="00B72E1E"/>
    <w:rsid w:val="00B74ED3"/>
    <w:rsid w:val="00B75544"/>
    <w:rsid w:val="00B77C59"/>
    <w:rsid w:val="00B80AC2"/>
    <w:rsid w:val="00B80BE2"/>
    <w:rsid w:val="00B81886"/>
    <w:rsid w:val="00B826BD"/>
    <w:rsid w:val="00B83BA8"/>
    <w:rsid w:val="00B8432F"/>
    <w:rsid w:val="00B8512C"/>
    <w:rsid w:val="00B85F34"/>
    <w:rsid w:val="00B86816"/>
    <w:rsid w:val="00B86BDB"/>
    <w:rsid w:val="00B87DFF"/>
    <w:rsid w:val="00B90123"/>
    <w:rsid w:val="00B935C0"/>
    <w:rsid w:val="00B93999"/>
    <w:rsid w:val="00B94A14"/>
    <w:rsid w:val="00B94A7A"/>
    <w:rsid w:val="00B953B7"/>
    <w:rsid w:val="00B96616"/>
    <w:rsid w:val="00B96AE6"/>
    <w:rsid w:val="00B96F60"/>
    <w:rsid w:val="00BA1D2A"/>
    <w:rsid w:val="00BA27CD"/>
    <w:rsid w:val="00BA3280"/>
    <w:rsid w:val="00BA3680"/>
    <w:rsid w:val="00BA4831"/>
    <w:rsid w:val="00BA64F4"/>
    <w:rsid w:val="00BA67C2"/>
    <w:rsid w:val="00BA6B4D"/>
    <w:rsid w:val="00BA7552"/>
    <w:rsid w:val="00BA7628"/>
    <w:rsid w:val="00BA765F"/>
    <w:rsid w:val="00BB1F89"/>
    <w:rsid w:val="00BB30E4"/>
    <w:rsid w:val="00BB5555"/>
    <w:rsid w:val="00BB5A11"/>
    <w:rsid w:val="00BB6B9A"/>
    <w:rsid w:val="00BB7733"/>
    <w:rsid w:val="00BC0244"/>
    <w:rsid w:val="00BC0B35"/>
    <w:rsid w:val="00BC1268"/>
    <w:rsid w:val="00BC2251"/>
    <w:rsid w:val="00BC361C"/>
    <w:rsid w:val="00BC3A4D"/>
    <w:rsid w:val="00BC40CA"/>
    <w:rsid w:val="00BC48A5"/>
    <w:rsid w:val="00BC72AF"/>
    <w:rsid w:val="00BC7F5C"/>
    <w:rsid w:val="00BD0007"/>
    <w:rsid w:val="00BD146E"/>
    <w:rsid w:val="00BD14C8"/>
    <w:rsid w:val="00BD2F1D"/>
    <w:rsid w:val="00BD302A"/>
    <w:rsid w:val="00BD369F"/>
    <w:rsid w:val="00BD3C29"/>
    <w:rsid w:val="00BD4695"/>
    <w:rsid w:val="00BD68D6"/>
    <w:rsid w:val="00BD777B"/>
    <w:rsid w:val="00BD781D"/>
    <w:rsid w:val="00BE2080"/>
    <w:rsid w:val="00BE2E65"/>
    <w:rsid w:val="00BE3B8F"/>
    <w:rsid w:val="00BE4107"/>
    <w:rsid w:val="00BE49A5"/>
    <w:rsid w:val="00BE4D84"/>
    <w:rsid w:val="00BE4E33"/>
    <w:rsid w:val="00BE55FD"/>
    <w:rsid w:val="00BE6812"/>
    <w:rsid w:val="00BE6DD9"/>
    <w:rsid w:val="00BE6F2F"/>
    <w:rsid w:val="00BE7407"/>
    <w:rsid w:val="00BE7671"/>
    <w:rsid w:val="00BE7E5D"/>
    <w:rsid w:val="00BF1417"/>
    <w:rsid w:val="00BF2DC1"/>
    <w:rsid w:val="00BF2EF4"/>
    <w:rsid w:val="00BF31AC"/>
    <w:rsid w:val="00BF35AB"/>
    <w:rsid w:val="00BF398C"/>
    <w:rsid w:val="00BF4777"/>
    <w:rsid w:val="00BF4ACD"/>
    <w:rsid w:val="00BF50D8"/>
    <w:rsid w:val="00BF5F4A"/>
    <w:rsid w:val="00BF63ED"/>
    <w:rsid w:val="00C00EDA"/>
    <w:rsid w:val="00C02CCA"/>
    <w:rsid w:val="00C049A1"/>
    <w:rsid w:val="00C058A5"/>
    <w:rsid w:val="00C063EE"/>
    <w:rsid w:val="00C07511"/>
    <w:rsid w:val="00C103BB"/>
    <w:rsid w:val="00C13231"/>
    <w:rsid w:val="00C140B0"/>
    <w:rsid w:val="00C1455D"/>
    <w:rsid w:val="00C15180"/>
    <w:rsid w:val="00C15680"/>
    <w:rsid w:val="00C16554"/>
    <w:rsid w:val="00C16B5D"/>
    <w:rsid w:val="00C20867"/>
    <w:rsid w:val="00C21388"/>
    <w:rsid w:val="00C21493"/>
    <w:rsid w:val="00C21E69"/>
    <w:rsid w:val="00C22983"/>
    <w:rsid w:val="00C24261"/>
    <w:rsid w:val="00C24F56"/>
    <w:rsid w:val="00C25C66"/>
    <w:rsid w:val="00C271F1"/>
    <w:rsid w:val="00C27AFF"/>
    <w:rsid w:val="00C33428"/>
    <w:rsid w:val="00C3572F"/>
    <w:rsid w:val="00C35E0B"/>
    <w:rsid w:val="00C366FA"/>
    <w:rsid w:val="00C373AD"/>
    <w:rsid w:val="00C37A43"/>
    <w:rsid w:val="00C37A8A"/>
    <w:rsid w:val="00C40B93"/>
    <w:rsid w:val="00C418BB"/>
    <w:rsid w:val="00C45440"/>
    <w:rsid w:val="00C47246"/>
    <w:rsid w:val="00C5035F"/>
    <w:rsid w:val="00C50B7F"/>
    <w:rsid w:val="00C5169B"/>
    <w:rsid w:val="00C5185A"/>
    <w:rsid w:val="00C523B8"/>
    <w:rsid w:val="00C53486"/>
    <w:rsid w:val="00C54406"/>
    <w:rsid w:val="00C56FE2"/>
    <w:rsid w:val="00C57DBB"/>
    <w:rsid w:val="00C610BD"/>
    <w:rsid w:val="00C612EE"/>
    <w:rsid w:val="00C619AE"/>
    <w:rsid w:val="00C61BA1"/>
    <w:rsid w:val="00C620E0"/>
    <w:rsid w:val="00C6252A"/>
    <w:rsid w:val="00C62B64"/>
    <w:rsid w:val="00C62C1F"/>
    <w:rsid w:val="00C64CB1"/>
    <w:rsid w:val="00C66555"/>
    <w:rsid w:val="00C66745"/>
    <w:rsid w:val="00C667C3"/>
    <w:rsid w:val="00C70340"/>
    <w:rsid w:val="00C71E80"/>
    <w:rsid w:val="00C72711"/>
    <w:rsid w:val="00C731E9"/>
    <w:rsid w:val="00C7359E"/>
    <w:rsid w:val="00C74264"/>
    <w:rsid w:val="00C747A8"/>
    <w:rsid w:val="00C7498A"/>
    <w:rsid w:val="00C7601B"/>
    <w:rsid w:val="00C76819"/>
    <w:rsid w:val="00C81604"/>
    <w:rsid w:val="00C81FC7"/>
    <w:rsid w:val="00C831B7"/>
    <w:rsid w:val="00C84325"/>
    <w:rsid w:val="00C845F3"/>
    <w:rsid w:val="00C851EA"/>
    <w:rsid w:val="00C852CC"/>
    <w:rsid w:val="00C85B3F"/>
    <w:rsid w:val="00C8762A"/>
    <w:rsid w:val="00C87905"/>
    <w:rsid w:val="00C905DC"/>
    <w:rsid w:val="00C91B56"/>
    <w:rsid w:val="00C93B5E"/>
    <w:rsid w:val="00C9460F"/>
    <w:rsid w:val="00C94648"/>
    <w:rsid w:val="00C949E7"/>
    <w:rsid w:val="00C96445"/>
    <w:rsid w:val="00C964DE"/>
    <w:rsid w:val="00C96DE1"/>
    <w:rsid w:val="00C9710F"/>
    <w:rsid w:val="00C97D59"/>
    <w:rsid w:val="00CA0333"/>
    <w:rsid w:val="00CA2DE3"/>
    <w:rsid w:val="00CA3EA7"/>
    <w:rsid w:val="00CA5B1A"/>
    <w:rsid w:val="00CA681E"/>
    <w:rsid w:val="00CA7E75"/>
    <w:rsid w:val="00CB0D88"/>
    <w:rsid w:val="00CB185E"/>
    <w:rsid w:val="00CB58E2"/>
    <w:rsid w:val="00CB593F"/>
    <w:rsid w:val="00CB5E96"/>
    <w:rsid w:val="00CB6CEA"/>
    <w:rsid w:val="00CB7371"/>
    <w:rsid w:val="00CB7527"/>
    <w:rsid w:val="00CB7D18"/>
    <w:rsid w:val="00CC0A92"/>
    <w:rsid w:val="00CC0CE8"/>
    <w:rsid w:val="00CC0D97"/>
    <w:rsid w:val="00CC2156"/>
    <w:rsid w:val="00CC287E"/>
    <w:rsid w:val="00CC4D15"/>
    <w:rsid w:val="00CC5954"/>
    <w:rsid w:val="00CC663A"/>
    <w:rsid w:val="00CC7C2C"/>
    <w:rsid w:val="00CD0215"/>
    <w:rsid w:val="00CD1A67"/>
    <w:rsid w:val="00CD1CDA"/>
    <w:rsid w:val="00CD22A5"/>
    <w:rsid w:val="00CD2A62"/>
    <w:rsid w:val="00CD2B21"/>
    <w:rsid w:val="00CD2C1D"/>
    <w:rsid w:val="00CD4238"/>
    <w:rsid w:val="00CD49F8"/>
    <w:rsid w:val="00CD4DB4"/>
    <w:rsid w:val="00CD6CCA"/>
    <w:rsid w:val="00CE0D1E"/>
    <w:rsid w:val="00CE1205"/>
    <w:rsid w:val="00CE1A47"/>
    <w:rsid w:val="00CE2BF0"/>
    <w:rsid w:val="00CE3A8A"/>
    <w:rsid w:val="00CE4D59"/>
    <w:rsid w:val="00CE4D6C"/>
    <w:rsid w:val="00CE55E7"/>
    <w:rsid w:val="00CE5D92"/>
    <w:rsid w:val="00CE7C20"/>
    <w:rsid w:val="00CF10B3"/>
    <w:rsid w:val="00CF28C3"/>
    <w:rsid w:val="00CF293D"/>
    <w:rsid w:val="00CF2C09"/>
    <w:rsid w:val="00CF3FDF"/>
    <w:rsid w:val="00CF61B4"/>
    <w:rsid w:val="00CF7AB6"/>
    <w:rsid w:val="00D00A76"/>
    <w:rsid w:val="00D032B6"/>
    <w:rsid w:val="00D0339C"/>
    <w:rsid w:val="00D035E2"/>
    <w:rsid w:val="00D06474"/>
    <w:rsid w:val="00D065A6"/>
    <w:rsid w:val="00D070CF"/>
    <w:rsid w:val="00D071E9"/>
    <w:rsid w:val="00D10053"/>
    <w:rsid w:val="00D10734"/>
    <w:rsid w:val="00D10D23"/>
    <w:rsid w:val="00D10F2F"/>
    <w:rsid w:val="00D10F69"/>
    <w:rsid w:val="00D11077"/>
    <w:rsid w:val="00D117AD"/>
    <w:rsid w:val="00D13407"/>
    <w:rsid w:val="00D1374C"/>
    <w:rsid w:val="00D141F9"/>
    <w:rsid w:val="00D152CF"/>
    <w:rsid w:val="00D1538E"/>
    <w:rsid w:val="00D15D1D"/>
    <w:rsid w:val="00D15FD0"/>
    <w:rsid w:val="00D208EF"/>
    <w:rsid w:val="00D20BB1"/>
    <w:rsid w:val="00D21635"/>
    <w:rsid w:val="00D21718"/>
    <w:rsid w:val="00D219CD"/>
    <w:rsid w:val="00D222AE"/>
    <w:rsid w:val="00D232BA"/>
    <w:rsid w:val="00D24536"/>
    <w:rsid w:val="00D24E98"/>
    <w:rsid w:val="00D25E82"/>
    <w:rsid w:val="00D3107B"/>
    <w:rsid w:val="00D318B5"/>
    <w:rsid w:val="00D31C19"/>
    <w:rsid w:val="00D321C7"/>
    <w:rsid w:val="00D329C8"/>
    <w:rsid w:val="00D3330A"/>
    <w:rsid w:val="00D3385F"/>
    <w:rsid w:val="00D33AF3"/>
    <w:rsid w:val="00D342AD"/>
    <w:rsid w:val="00D35C32"/>
    <w:rsid w:val="00D35F27"/>
    <w:rsid w:val="00D36209"/>
    <w:rsid w:val="00D37108"/>
    <w:rsid w:val="00D40235"/>
    <w:rsid w:val="00D41D1A"/>
    <w:rsid w:val="00D42941"/>
    <w:rsid w:val="00D42BFF"/>
    <w:rsid w:val="00D43954"/>
    <w:rsid w:val="00D43DA7"/>
    <w:rsid w:val="00D44586"/>
    <w:rsid w:val="00D45E15"/>
    <w:rsid w:val="00D46F67"/>
    <w:rsid w:val="00D4710F"/>
    <w:rsid w:val="00D50418"/>
    <w:rsid w:val="00D50826"/>
    <w:rsid w:val="00D50DA8"/>
    <w:rsid w:val="00D51C74"/>
    <w:rsid w:val="00D539ED"/>
    <w:rsid w:val="00D54C0A"/>
    <w:rsid w:val="00D54E14"/>
    <w:rsid w:val="00D557B2"/>
    <w:rsid w:val="00D570A3"/>
    <w:rsid w:val="00D57B5E"/>
    <w:rsid w:val="00D57E31"/>
    <w:rsid w:val="00D57F44"/>
    <w:rsid w:val="00D60039"/>
    <w:rsid w:val="00D60223"/>
    <w:rsid w:val="00D60826"/>
    <w:rsid w:val="00D614F3"/>
    <w:rsid w:val="00D61D3C"/>
    <w:rsid w:val="00D62070"/>
    <w:rsid w:val="00D62868"/>
    <w:rsid w:val="00D62EC5"/>
    <w:rsid w:val="00D63B92"/>
    <w:rsid w:val="00D645B2"/>
    <w:rsid w:val="00D64765"/>
    <w:rsid w:val="00D64766"/>
    <w:rsid w:val="00D65821"/>
    <w:rsid w:val="00D65B7D"/>
    <w:rsid w:val="00D65F76"/>
    <w:rsid w:val="00D665F9"/>
    <w:rsid w:val="00D70A92"/>
    <w:rsid w:val="00D71373"/>
    <w:rsid w:val="00D71458"/>
    <w:rsid w:val="00D7291B"/>
    <w:rsid w:val="00D73D07"/>
    <w:rsid w:val="00D74240"/>
    <w:rsid w:val="00D747E0"/>
    <w:rsid w:val="00D74A30"/>
    <w:rsid w:val="00D74DA1"/>
    <w:rsid w:val="00D75179"/>
    <w:rsid w:val="00D761D8"/>
    <w:rsid w:val="00D76F85"/>
    <w:rsid w:val="00D77942"/>
    <w:rsid w:val="00D80425"/>
    <w:rsid w:val="00D816DC"/>
    <w:rsid w:val="00D82092"/>
    <w:rsid w:val="00D82665"/>
    <w:rsid w:val="00D82DCF"/>
    <w:rsid w:val="00D83439"/>
    <w:rsid w:val="00D83E0B"/>
    <w:rsid w:val="00D84E1F"/>
    <w:rsid w:val="00D872D9"/>
    <w:rsid w:val="00D877FD"/>
    <w:rsid w:val="00D878FA"/>
    <w:rsid w:val="00D87C9C"/>
    <w:rsid w:val="00D90D2D"/>
    <w:rsid w:val="00D91EC5"/>
    <w:rsid w:val="00D920E9"/>
    <w:rsid w:val="00D932E4"/>
    <w:rsid w:val="00D9379D"/>
    <w:rsid w:val="00D938AA"/>
    <w:rsid w:val="00D95658"/>
    <w:rsid w:val="00D95F51"/>
    <w:rsid w:val="00D964FB"/>
    <w:rsid w:val="00D96AA3"/>
    <w:rsid w:val="00D97389"/>
    <w:rsid w:val="00DA0201"/>
    <w:rsid w:val="00DA19C8"/>
    <w:rsid w:val="00DA1F37"/>
    <w:rsid w:val="00DA2E3D"/>
    <w:rsid w:val="00DA32D8"/>
    <w:rsid w:val="00DA37FF"/>
    <w:rsid w:val="00DA5004"/>
    <w:rsid w:val="00DA62F3"/>
    <w:rsid w:val="00DA6B28"/>
    <w:rsid w:val="00DB09C4"/>
    <w:rsid w:val="00DB0F09"/>
    <w:rsid w:val="00DB2136"/>
    <w:rsid w:val="00DB280E"/>
    <w:rsid w:val="00DB4A8E"/>
    <w:rsid w:val="00DB69DE"/>
    <w:rsid w:val="00DB6C20"/>
    <w:rsid w:val="00DC006E"/>
    <w:rsid w:val="00DC161B"/>
    <w:rsid w:val="00DC2173"/>
    <w:rsid w:val="00DC25A8"/>
    <w:rsid w:val="00DC2C4E"/>
    <w:rsid w:val="00DC45D7"/>
    <w:rsid w:val="00DC5442"/>
    <w:rsid w:val="00DC632D"/>
    <w:rsid w:val="00DC654B"/>
    <w:rsid w:val="00DC7D2D"/>
    <w:rsid w:val="00DC7ECD"/>
    <w:rsid w:val="00DD0212"/>
    <w:rsid w:val="00DD08FF"/>
    <w:rsid w:val="00DD1857"/>
    <w:rsid w:val="00DD314D"/>
    <w:rsid w:val="00DD35DE"/>
    <w:rsid w:val="00DD6C51"/>
    <w:rsid w:val="00DD73BB"/>
    <w:rsid w:val="00DD793D"/>
    <w:rsid w:val="00DE0AAF"/>
    <w:rsid w:val="00DE10A5"/>
    <w:rsid w:val="00DE110B"/>
    <w:rsid w:val="00DE1276"/>
    <w:rsid w:val="00DE38E3"/>
    <w:rsid w:val="00DE489B"/>
    <w:rsid w:val="00DE4B82"/>
    <w:rsid w:val="00DE4E99"/>
    <w:rsid w:val="00DE711E"/>
    <w:rsid w:val="00DE75FB"/>
    <w:rsid w:val="00DF0A09"/>
    <w:rsid w:val="00DF16C5"/>
    <w:rsid w:val="00DF2E9F"/>
    <w:rsid w:val="00DF3480"/>
    <w:rsid w:val="00DF3F45"/>
    <w:rsid w:val="00DF3FE4"/>
    <w:rsid w:val="00DF4E19"/>
    <w:rsid w:val="00DF65E6"/>
    <w:rsid w:val="00E02767"/>
    <w:rsid w:val="00E0293E"/>
    <w:rsid w:val="00E03425"/>
    <w:rsid w:val="00E03896"/>
    <w:rsid w:val="00E0457E"/>
    <w:rsid w:val="00E0514B"/>
    <w:rsid w:val="00E051C8"/>
    <w:rsid w:val="00E0580D"/>
    <w:rsid w:val="00E0586B"/>
    <w:rsid w:val="00E0646A"/>
    <w:rsid w:val="00E11224"/>
    <w:rsid w:val="00E116A0"/>
    <w:rsid w:val="00E116DF"/>
    <w:rsid w:val="00E11810"/>
    <w:rsid w:val="00E1238D"/>
    <w:rsid w:val="00E124C1"/>
    <w:rsid w:val="00E12ACD"/>
    <w:rsid w:val="00E13590"/>
    <w:rsid w:val="00E135CD"/>
    <w:rsid w:val="00E1647E"/>
    <w:rsid w:val="00E16638"/>
    <w:rsid w:val="00E16CCC"/>
    <w:rsid w:val="00E16F5E"/>
    <w:rsid w:val="00E171CF"/>
    <w:rsid w:val="00E17341"/>
    <w:rsid w:val="00E20061"/>
    <w:rsid w:val="00E210A4"/>
    <w:rsid w:val="00E2257E"/>
    <w:rsid w:val="00E23A7E"/>
    <w:rsid w:val="00E24ABC"/>
    <w:rsid w:val="00E25D73"/>
    <w:rsid w:val="00E309DC"/>
    <w:rsid w:val="00E313D3"/>
    <w:rsid w:val="00E313F9"/>
    <w:rsid w:val="00E316E9"/>
    <w:rsid w:val="00E32178"/>
    <w:rsid w:val="00E32615"/>
    <w:rsid w:val="00E32E3A"/>
    <w:rsid w:val="00E33E5E"/>
    <w:rsid w:val="00E340C3"/>
    <w:rsid w:val="00E3622C"/>
    <w:rsid w:val="00E4065E"/>
    <w:rsid w:val="00E41A78"/>
    <w:rsid w:val="00E420F4"/>
    <w:rsid w:val="00E4263B"/>
    <w:rsid w:val="00E429F2"/>
    <w:rsid w:val="00E4329C"/>
    <w:rsid w:val="00E44EC3"/>
    <w:rsid w:val="00E45609"/>
    <w:rsid w:val="00E457E9"/>
    <w:rsid w:val="00E46091"/>
    <w:rsid w:val="00E46B1F"/>
    <w:rsid w:val="00E47CB1"/>
    <w:rsid w:val="00E516E6"/>
    <w:rsid w:val="00E51C0A"/>
    <w:rsid w:val="00E52184"/>
    <w:rsid w:val="00E528BA"/>
    <w:rsid w:val="00E53808"/>
    <w:rsid w:val="00E547D7"/>
    <w:rsid w:val="00E56046"/>
    <w:rsid w:val="00E572F9"/>
    <w:rsid w:val="00E5780D"/>
    <w:rsid w:val="00E61F93"/>
    <w:rsid w:val="00E63068"/>
    <w:rsid w:val="00E63078"/>
    <w:rsid w:val="00E639FC"/>
    <w:rsid w:val="00E647C4"/>
    <w:rsid w:val="00E6519D"/>
    <w:rsid w:val="00E661B8"/>
    <w:rsid w:val="00E7109D"/>
    <w:rsid w:val="00E716A9"/>
    <w:rsid w:val="00E71767"/>
    <w:rsid w:val="00E72309"/>
    <w:rsid w:val="00E7283F"/>
    <w:rsid w:val="00E7345B"/>
    <w:rsid w:val="00E738CE"/>
    <w:rsid w:val="00E74247"/>
    <w:rsid w:val="00E74C74"/>
    <w:rsid w:val="00E76B82"/>
    <w:rsid w:val="00E77BBE"/>
    <w:rsid w:val="00E82914"/>
    <w:rsid w:val="00E82B01"/>
    <w:rsid w:val="00E85F70"/>
    <w:rsid w:val="00E86745"/>
    <w:rsid w:val="00E86EB1"/>
    <w:rsid w:val="00E9009C"/>
    <w:rsid w:val="00E91135"/>
    <w:rsid w:val="00E914AE"/>
    <w:rsid w:val="00E91BFF"/>
    <w:rsid w:val="00E923A3"/>
    <w:rsid w:val="00E939C1"/>
    <w:rsid w:val="00E9467F"/>
    <w:rsid w:val="00E94B49"/>
    <w:rsid w:val="00E95386"/>
    <w:rsid w:val="00E95CCA"/>
    <w:rsid w:val="00E95D28"/>
    <w:rsid w:val="00E96E42"/>
    <w:rsid w:val="00E976C0"/>
    <w:rsid w:val="00E97DA3"/>
    <w:rsid w:val="00EA0980"/>
    <w:rsid w:val="00EA10C1"/>
    <w:rsid w:val="00EA10D7"/>
    <w:rsid w:val="00EA22F8"/>
    <w:rsid w:val="00EA2397"/>
    <w:rsid w:val="00EA2776"/>
    <w:rsid w:val="00EA2D9E"/>
    <w:rsid w:val="00EA3DA6"/>
    <w:rsid w:val="00EA44AE"/>
    <w:rsid w:val="00EA5EBF"/>
    <w:rsid w:val="00EA6A6A"/>
    <w:rsid w:val="00EA7465"/>
    <w:rsid w:val="00EA7BF3"/>
    <w:rsid w:val="00EB01C9"/>
    <w:rsid w:val="00EB1666"/>
    <w:rsid w:val="00EB3A6D"/>
    <w:rsid w:val="00EB3CB8"/>
    <w:rsid w:val="00EB5406"/>
    <w:rsid w:val="00EB59B9"/>
    <w:rsid w:val="00EB5EB6"/>
    <w:rsid w:val="00EB6959"/>
    <w:rsid w:val="00EB78C2"/>
    <w:rsid w:val="00EB7C0A"/>
    <w:rsid w:val="00EC04C1"/>
    <w:rsid w:val="00EC1867"/>
    <w:rsid w:val="00EC1FC5"/>
    <w:rsid w:val="00EC26FA"/>
    <w:rsid w:val="00EC3B7A"/>
    <w:rsid w:val="00EC4079"/>
    <w:rsid w:val="00EC4582"/>
    <w:rsid w:val="00EC7F35"/>
    <w:rsid w:val="00ED032C"/>
    <w:rsid w:val="00ED160D"/>
    <w:rsid w:val="00ED17A8"/>
    <w:rsid w:val="00ED1884"/>
    <w:rsid w:val="00ED1A09"/>
    <w:rsid w:val="00ED311D"/>
    <w:rsid w:val="00ED384F"/>
    <w:rsid w:val="00ED39E2"/>
    <w:rsid w:val="00ED3D63"/>
    <w:rsid w:val="00ED4936"/>
    <w:rsid w:val="00ED5869"/>
    <w:rsid w:val="00ED69A2"/>
    <w:rsid w:val="00ED71B8"/>
    <w:rsid w:val="00ED7C9E"/>
    <w:rsid w:val="00EE0520"/>
    <w:rsid w:val="00EE1BBC"/>
    <w:rsid w:val="00EE268F"/>
    <w:rsid w:val="00EE28BB"/>
    <w:rsid w:val="00EE2A20"/>
    <w:rsid w:val="00EE2B04"/>
    <w:rsid w:val="00EE3277"/>
    <w:rsid w:val="00EE376B"/>
    <w:rsid w:val="00EE3AE8"/>
    <w:rsid w:val="00EE3F4C"/>
    <w:rsid w:val="00EE42F4"/>
    <w:rsid w:val="00EE43C6"/>
    <w:rsid w:val="00EE52C2"/>
    <w:rsid w:val="00EE5589"/>
    <w:rsid w:val="00EE5CD9"/>
    <w:rsid w:val="00EE6138"/>
    <w:rsid w:val="00EE65EA"/>
    <w:rsid w:val="00EE695B"/>
    <w:rsid w:val="00EE6CD1"/>
    <w:rsid w:val="00EE6EB5"/>
    <w:rsid w:val="00EF043F"/>
    <w:rsid w:val="00EF1293"/>
    <w:rsid w:val="00EF3163"/>
    <w:rsid w:val="00EF5826"/>
    <w:rsid w:val="00EF606C"/>
    <w:rsid w:val="00EF73D9"/>
    <w:rsid w:val="00EF768D"/>
    <w:rsid w:val="00F006E3"/>
    <w:rsid w:val="00F00A5B"/>
    <w:rsid w:val="00F01185"/>
    <w:rsid w:val="00F0230F"/>
    <w:rsid w:val="00F02EB9"/>
    <w:rsid w:val="00F10199"/>
    <w:rsid w:val="00F10E8D"/>
    <w:rsid w:val="00F115A8"/>
    <w:rsid w:val="00F119AF"/>
    <w:rsid w:val="00F11CFE"/>
    <w:rsid w:val="00F12879"/>
    <w:rsid w:val="00F15C04"/>
    <w:rsid w:val="00F177F3"/>
    <w:rsid w:val="00F20AD6"/>
    <w:rsid w:val="00F211A5"/>
    <w:rsid w:val="00F21700"/>
    <w:rsid w:val="00F21904"/>
    <w:rsid w:val="00F21E1A"/>
    <w:rsid w:val="00F21E9B"/>
    <w:rsid w:val="00F2289A"/>
    <w:rsid w:val="00F2362A"/>
    <w:rsid w:val="00F25C27"/>
    <w:rsid w:val="00F25C30"/>
    <w:rsid w:val="00F27288"/>
    <w:rsid w:val="00F300D9"/>
    <w:rsid w:val="00F30BFB"/>
    <w:rsid w:val="00F317CA"/>
    <w:rsid w:val="00F31C12"/>
    <w:rsid w:val="00F31C5D"/>
    <w:rsid w:val="00F31F71"/>
    <w:rsid w:val="00F33D05"/>
    <w:rsid w:val="00F34B82"/>
    <w:rsid w:val="00F35802"/>
    <w:rsid w:val="00F374FE"/>
    <w:rsid w:val="00F37F6C"/>
    <w:rsid w:val="00F40B89"/>
    <w:rsid w:val="00F4229E"/>
    <w:rsid w:val="00F4261C"/>
    <w:rsid w:val="00F42E25"/>
    <w:rsid w:val="00F437C7"/>
    <w:rsid w:val="00F44DB2"/>
    <w:rsid w:val="00F45781"/>
    <w:rsid w:val="00F463FA"/>
    <w:rsid w:val="00F4696C"/>
    <w:rsid w:val="00F474E2"/>
    <w:rsid w:val="00F47649"/>
    <w:rsid w:val="00F5049A"/>
    <w:rsid w:val="00F50F93"/>
    <w:rsid w:val="00F5165C"/>
    <w:rsid w:val="00F516E2"/>
    <w:rsid w:val="00F53284"/>
    <w:rsid w:val="00F53A31"/>
    <w:rsid w:val="00F55525"/>
    <w:rsid w:val="00F55F43"/>
    <w:rsid w:val="00F563EC"/>
    <w:rsid w:val="00F568F6"/>
    <w:rsid w:val="00F56D48"/>
    <w:rsid w:val="00F60041"/>
    <w:rsid w:val="00F61CE7"/>
    <w:rsid w:val="00F61FB1"/>
    <w:rsid w:val="00F62F44"/>
    <w:rsid w:val="00F6502B"/>
    <w:rsid w:val="00F65794"/>
    <w:rsid w:val="00F66D9E"/>
    <w:rsid w:val="00F7278F"/>
    <w:rsid w:val="00F727F7"/>
    <w:rsid w:val="00F742DE"/>
    <w:rsid w:val="00F7485B"/>
    <w:rsid w:val="00F750B5"/>
    <w:rsid w:val="00F756B8"/>
    <w:rsid w:val="00F7576D"/>
    <w:rsid w:val="00F76EC5"/>
    <w:rsid w:val="00F7747C"/>
    <w:rsid w:val="00F810F2"/>
    <w:rsid w:val="00F87136"/>
    <w:rsid w:val="00F8726C"/>
    <w:rsid w:val="00F87C84"/>
    <w:rsid w:val="00F90414"/>
    <w:rsid w:val="00F91279"/>
    <w:rsid w:val="00F92735"/>
    <w:rsid w:val="00F93B44"/>
    <w:rsid w:val="00F94022"/>
    <w:rsid w:val="00F94122"/>
    <w:rsid w:val="00F94282"/>
    <w:rsid w:val="00F94FF8"/>
    <w:rsid w:val="00F9647F"/>
    <w:rsid w:val="00F97BEB"/>
    <w:rsid w:val="00FA1A93"/>
    <w:rsid w:val="00FA33D2"/>
    <w:rsid w:val="00FA5E8F"/>
    <w:rsid w:val="00FA6DDB"/>
    <w:rsid w:val="00FB0CD9"/>
    <w:rsid w:val="00FB51C1"/>
    <w:rsid w:val="00FB5A9B"/>
    <w:rsid w:val="00FB5DD2"/>
    <w:rsid w:val="00FB66EF"/>
    <w:rsid w:val="00FB6B1D"/>
    <w:rsid w:val="00FB6F9B"/>
    <w:rsid w:val="00FB7654"/>
    <w:rsid w:val="00FB7C76"/>
    <w:rsid w:val="00FC0163"/>
    <w:rsid w:val="00FC0682"/>
    <w:rsid w:val="00FC081F"/>
    <w:rsid w:val="00FC0EE7"/>
    <w:rsid w:val="00FC11FC"/>
    <w:rsid w:val="00FC14AB"/>
    <w:rsid w:val="00FC25FA"/>
    <w:rsid w:val="00FC2C71"/>
    <w:rsid w:val="00FC3A84"/>
    <w:rsid w:val="00FC490E"/>
    <w:rsid w:val="00FC4A9E"/>
    <w:rsid w:val="00FC730A"/>
    <w:rsid w:val="00FD013F"/>
    <w:rsid w:val="00FD0266"/>
    <w:rsid w:val="00FD09EE"/>
    <w:rsid w:val="00FD0C53"/>
    <w:rsid w:val="00FD1936"/>
    <w:rsid w:val="00FD2206"/>
    <w:rsid w:val="00FD396A"/>
    <w:rsid w:val="00FD5208"/>
    <w:rsid w:val="00FD58FB"/>
    <w:rsid w:val="00FD59C8"/>
    <w:rsid w:val="00FD5B27"/>
    <w:rsid w:val="00FD66AA"/>
    <w:rsid w:val="00FD7784"/>
    <w:rsid w:val="00FE0A8D"/>
    <w:rsid w:val="00FE0D0C"/>
    <w:rsid w:val="00FE2352"/>
    <w:rsid w:val="00FE254A"/>
    <w:rsid w:val="00FE25CA"/>
    <w:rsid w:val="00FE2E13"/>
    <w:rsid w:val="00FE45C5"/>
    <w:rsid w:val="00FE4E0C"/>
    <w:rsid w:val="00FE5026"/>
    <w:rsid w:val="00FE5801"/>
    <w:rsid w:val="00FE6050"/>
    <w:rsid w:val="00FE76EA"/>
    <w:rsid w:val="00FE7875"/>
    <w:rsid w:val="00FF0027"/>
    <w:rsid w:val="00FF0D3F"/>
    <w:rsid w:val="00FF0EE7"/>
    <w:rsid w:val="00FF12E3"/>
    <w:rsid w:val="00FF2F42"/>
    <w:rsid w:val="00FF4126"/>
    <w:rsid w:val="00FF5489"/>
    <w:rsid w:val="00FF6294"/>
    <w:rsid w:val="00FF62C5"/>
    <w:rsid w:val="00FF7815"/>
    <w:rsid w:val="01075C39"/>
    <w:rsid w:val="01317AEA"/>
    <w:rsid w:val="01395AA5"/>
    <w:rsid w:val="014A2E83"/>
    <w:rsid w:val="014C533C"/>
    <w:rsid w:val="014D7DAB"/>
    <w:rsid w:val="01702467"/>
    <w:rsid w:val="01991280"/>
    <w:rsid w:val="01CE5DAE"/>
    <w:rsid w:val="01E55557"/>
    <w:rsid w:val="01FD708B"/>
    <w:rsid w:val="01FF3002"/>
    <w:rsid w:val="024A2CAD"/>
    <w:rsid w:val="024D11F1"/>
    <w:rsid w:val="026D22C5"/>
    <w:rsid w:val="0295402D"/>
    <w:rsid w:val="02B21318"/>
    <w:rsid w:val="02BF4303"/>
    <w:rsid w:val="02C74AD0"/>
    <w:rsid w:val="02DE0695"/>
    <w:rsid w:val="033A6BF7"/>
    <w:rsid w:val="0360050E"/>
    <w:rsid w:val="036262AD"/>
    <w:rsid w:val="036B5A5A"/>
    <w:rsid w:val="0379358D"/>
    <w:rsid w:val="037E07C4"/>
    <w:rsid w:val="03BC069F"/>
    <w:rsid w:val="03D51BB7"/>
    <w:rsid w:val="03DF7198"/>
    <w:rsid w:val="03EF6E16"/>
    <w:rsid w:val="03F866ED"/>
    <w:rsid w:val="04154EE2"/>
    <w:rsid w:val="041F0C8E"/>
    <w:rsid w:val="04634C83"/>
    <w:rsid w:val="0474118E"/>
    <w:rsid w:val="04746905"/>
    <w:rsid w:val="04EF2AE3"/>
    <w:rsid w:val="04F841B7"/>
    <w:rsid w:val="04FD6B19"/>
    <w:rsid w:val="050749D5"/>
    <w:rsid w:val="05290371"/>
    <w:rsid w:val="05337574"/>
    <w:rsid w:val="05352A43"/>
    <w:rsid w:val="053B50CC"/>
    <w:rsid w:val="05557601"/>
    <w:rsid w:val="056B3955"/>
    <w:rsid w:val="056D68A4"/>
    <w:rsid w:val="0578668A"/>
    <w:rsid w:val="06277F3C"/>
    <w:rsid w:val="06370F48"/>
    <w:rsid w:val="063C3B06"/>
    <w:rsid w:val="06484DA1"/>
    <w:rsid w:val="064A1D95"/>
    <w:rsid w:val="065A2CAE"/>
    <w:rsid w:val="067868C9"/>
    <w:rsid w:val="06852D6A"/>
    <w:rsid w:val="06910CD8"/>
    <w:rsid w:val="06A73AA3"/>
    <w:rsid w:val="06DF7F99"/>
    <w:rsid w:val="06EE5C5C"/>
    <w:rsid w:val="06F51572"/>
    <w:rsid w:val="070E765F"/>
    <w:rsid w:val="071766A8"/>
    <w:rsid w:val="074C2223"/>
    <w:rsid w:val="076A30EB"/>
    <w:rsid w:val="07982AED"/>
    <w:rsid w:val="079B5D61"/>
    <w:rsid w:val="07A71CE7"/>
    <w:rsid w:val="07A80592"/>
    <w:rsid w:val="07C6341D"/>
    <w:rsid w:val="07F62D24"/>
    <w:rsid w:val="08184997"/>
    <w:rsid w:val="08273608"/>
    <w:rsid w:val="084371DE"/>
    <w:rsid w:val="085B3E14"/>
    <w:rsid w:val="086E2436"/>
    <w:rsid w:val="087519A8"/>
    <w:rsid w:val="0886144C"/>
    <w:rsid w:val="08982FF4"/>
    <w:rsid w:val="08A47F82"/>
    <w:rsid w:val="08A8053E"/>
    <w:rsid w:val="08A96509"/>
    <w:rsid w:val="08D41B43"/>
    <w:rsid w:val="09036189"/>
    <w:rsid w:val="09563AE6"/>
    <w:rsid w:val="09684A2C"/>
    <w:rsid w:val="09867586"/>
    <w:rsid w:val="09A707B8"/>
    <w:rsid w:val="09BF6B63"/>
    <w:rsid w:val="09C87AAB"/>
    <w:rsid w:val="09CB519F"/>
    <w:rsid w:val="0A347579"/>
    <w:rsid w:val="0A3E1EBC"/>
    <w:rsid w:val="0A496EC3"/>
    <w:rsid w:val="0A5C7555"/>
    <w:rsid w:val="0A5E013A"/>
    <w:rsid w:val="0A644BD3"/>
    <w:rsid w:val="0A6763FA"/>
    <w:rsid w:val="0A6B472E"/>
    <w:rsid w:val="0ABB7714"/>
    <w:rsid w:val="0AD925B3"/>
    <w:rsid w:val="0B2506BA"/>
    <w:rsid w:val="0B310B85"/>
    <w:rsid w:val="0B4B27ED"/>
    <w:rsid w:val="0B676E48"/>
    <w:rsid w:val="0B79295A"/>
    <w:rsid w:val="0B8C617B"/>
    <w:rsid w:val="0B903AA0"/>
    <w:rsid w:val="0BCE1184"/>
    <w:rsid w:val="0BCF68D5"/>
    <w:rsid w:val="0BD3100A"/>
    <w:rsid w:val="0BDD6A38"/>
    <w:rsid w:val="0BE01B94"/>
    <w:rsid w:val="0BF162CF"/>
    <w:rsid w:val="0BF71598"/>
    <w:rsid w:val="0C0A4FFA"/>
    <w:rsid w:val="0C26402F"/>
    <w:rsid w:val="0C315724"/>
    <w:rsid w:val="0C4043B1"/>
    <w:rsid w:val="0C5D1734"/>
    <w:rsid w:val="0C762B64"/>
    <w:rsid w:val="0C812E09"/>
    <w:rsid w:val="0C8D0282"/>
    <w:rsid w:val="0C96408C"/>
    <w:rsid w:val="0C9C2DD4"/>
    <w:rsid w:val="0CA24787"/>
    <w:rsid w:val="0CC54C60"/>
    <w:rsid w:val="0CD23765"/>
    <w:rsid w:val="0CD23DEC"/>
    <w:rsid w:val="0CE92059"/>
    <w:rsid w:val="0CEF4778"/>
    <w:rsid w:val="0CFD5F2F"/>
    <w:rsid w:val="0D0B674C"/>
    <w:rsid w:val="0D0E4E75"/>
    <w:rsid w:val="0D102808"/>
    <w:rsid w:val="0D1F7353"/>
    <w:rsid w:val="0D3B6BB2"/>
    <w:rsid w:val="0D651EBD"/>
    <w:rsid w:val="0D7D79B0"/>
    <w:rsid w:val="0D8A60C0"/>
    <w:rsid w:val="0DD40C76"/>
    <w:rsid w:val="0DEA6860"/>
    <w:rsid w:val="0E0658D8"/>
    <w:rsid w:val="0E3A5B64"/>
    <w:rsid w:val="0E436C9E"/>
    <w:rsid w:val="0E462DCD"/>
    <w:rsid w:val="0E511663"/>
    <w:rsid w:val="0E635C57"/>
    <w:rsid w:val="0E6C5AC6"/>
    <w:rsid w:val="0E7C04FA"/>
    <w:rsid w:val="0EA00B1A"/>
    <w:rsid w:val="0EB94C6C"/>
    <w:rsid w:val="0ED66AFF"/>
    <w:rsid w:val="0EDE4CCC"/>
    <w:rsid w:val="0F203E86"/>
    <w:rsid w:val="0F2374A5"/>
    <w:rsid w:val="0F5A026A"/>
    <w:rsid w:val="0F65039B"/>
    <w:rsid w:val="0FBA293D"/>
    <w:rsid w:val="0FDD4396"/>
    <w:rsid w:val="0FE9685E"/>
    <w:rsid w:val="103268B4"/>
    <w:rsid w:val="10354312"/>
    <w:rsid w:val="103A1845"/>
    <w:rsid w:val="103B2EDC"/>
    <w:rsid w:val="105D2CF9"/>
    <w:rsid w:val="107767C4"/>
    <w:rsid w:val="108D52FF"/>
    <w:rsid w:val="109E6464"/>
    <w:rsid w:val="10A5184E"/>
    <w:rsid w:val="10BB2466"/>
    <w:rsid w:val="1102779A"/>
    <w:rsid w:val="11244C85"/>
    <w:rsid w:val="11297E4D"/>
    <w:rsid w:val="113F64A0"/>
    <w:rsid w:val="115124A8"/>
    <w:rsid w:val="11595AC2"/>
    <w:rsid w:val="116F1097"/>
    <w:rsid w:val="11722B13"/>
    <w:rsid w:val="117268CA"/>
    <w:rsid w:val="11961889"/>
    <w:rsid w:val="11B65ED1"/>
    <w:rsid w:val="11D43149"/>
    <w:rsid w:val="11D90780"/>
    <w:rsid w:val="11EA2ACC"/>
    <w:rsid w:val="121250FA"/>
    <w:rsid w:val="12127E6B"/>
    <w:rsid w:val="121654BB"/>
    <w:rsid w:val="1216601A"/>
    <w:rsid w:val="123F2C23"/>
    <w:rsid w:val="124207EB"/>
    <w:rsid w:val="12452B09"/>
    <w:rsid w:val="128B4457"/>
    <w:rsid w:val="12C51EAC"/>
    <w:rsid w:val="12C95F02"/>
    <w:rsid w:val="12D16911"/>
    <w:rsid w:val="130E06A8"/>
    <w:rsid w:val="132741FE"/>
    <w:rsid w:val="13851BD7"/>
    <w:rsid w:val="138C670D"/>
    <w:rsid w:val="13B52851"/>
    <w:rsid w:val="13CC6354"/>
    <w:rsid w:val="13DB4C18"/>
    <w:rsid w:val="13E85C51"/>
    <w:rsid w:val="13F612D0"/>
    <w:rsid w:val="141271D8"/>
    <w:rsid w:val="142F28BE"/>
    <w:rsid w:val="143E1E7F"/>
    <w:rsid w:val="14560BBE"/>
    <w:rsid w:val="14766A39"/>
    <w:rsid w:val="14CA724C"/>
    <w:rsid w:val="14FC6709"/>
    <w:rsid w:val="153928FC"/>
    <w:rsid w:val="15442ABA"/>
    <w:rsid w:val="155B0E59"/>
    <w:rsid w:val="15C479AF"/>
    <w:rsid w:val="15DC4183"/>
    <w:rsid w:val="15E6745F"/>
    <w:rsid w:val="161C7688"/>
    <w:rsid w:val="16A22225"/>
    <w:rsid w:val="16C2079A"/>
    <w:rsid w:val="16D543B2"/>
    <w:rsid w:val="16D84527"/>
    <w:rsid w:val="1761433F"/>
    <w:rsid w:val="177D3D98"/>
    <w:rsid w:val="1796473F"/>
    <w:rsid w:val="17AF6E0C"/>
    <w:rsid w:val="17C02D03"/>
    <w:rsid w:val="17F64677"/>
    <w:rsid w:val="18EE4C87"/>
    <w:rsid w:val="18FA29F4"/>
    <w:rsid w:val="1900511B"/>
    <w:rsid w:val="19580BC8"/>
    <w:rsid w:val="196070DE"/>
    <w:rsid w:val="196330F3"/>
    <w:rsid w:val="19997214"/>
    <w:rsid w:val="19C06F24"/>
    <w:rsid w:val="19E369F4"/>
    <w:rsid w:val="19FA2647"/>
    <w:rsid w:val="1A027DE4"/>
    <w:rsid w:val="1A03068F"/>
    <w:rsid w:val="1A5A0B33"/>
    <w:rsid w:val="1AAF1431"/>
    <w:rsid w:val="1AB17E92"/>
    <w:rsid w:val="1AD516FF"/>
    <w:rsid w:val="1AD62F5E"/>
    <w:rsid w:val="1AE320EA"/>
    <w:rsid w:val="1B483FC1"/>
    <w:rsid w:val="1B662A88"/>
    <w:rsid w:val="1B6852DA"/>
    <w:rsid w:val="1B751029"/>
    <w:rsid w:val="1B7D1033"/>
    <w:rsid w:val="1B8B75A1"/>
    <w:rsid w:val="1B930CD8"/>
    <w:rsid w:val="1B960D67"/>
    <w:rsid w:val="1BAB3944"/>
    <w:rsid w:val="1BB63296"/>
    <w:rsid w:val="1BCD4CB9"/>
    <w:rsid w:val="1BE11242"/>
    <w:rsid w:val="1C124E20"/>
    <w:rsid w:val="1C323237"/>
    <w:rsid w:val="1C4048D2"/>
    <w:rsid w:val="1C57044F"/>
    <w:rsid w:val="1C8F29CB"/>
    <w:rsid w:val="1CBB34DD"/>
    <w:rsid w:val="1CC43BAE"/>
    <w:rsid w:val="1CF375F7"/>
    <w:rsid w:val="1D330789"/>
    <w:rsid w:val="1D4F2869"/>
    <w:rsid w:val="1D6765DE"/>
    <w:rsid w:val="1D785F09"/>
    <w:rsid w:val="1DF54365"/>
    <w:rsid w:val="1E00018F"/>
    <w:rsid w:val="1E3078D7"/>
    <w:rsid w:val="1E67605F"/>
    <w:rsid w:val="1E696B3F"/>
    <w:rsid w:val="1ECF210B"/>
    <w:rsid w:val="1EE27E26"/>
    <w:rsid w:val="1EEF5B76"/>
    <w:rsid w:val="1EF4144D"/>
    <w:rsid w:val="1F10422C"/>
    <w:rsid w:val="1F3302BE"/>
    <w:rsid w:val="1F340512"/>
    <w:rsid w:val="1F445FF6"/>
    <w:rsid w:val="1F491563"/>
    <w:rsid w:val="1F6636CA"/>
    <w:rsid w:val="1F673F82"/>
    <w:rsid w:val="1F8D655A"/>
    <w:rsid w:val="1FBC540D"/>
    <w:rsid w:val="1FC81768"/>
    <w:rsid w:val="1FD57B36"/>
    <w:rsid w:val="1FF214F0"/>
    <w:rsid w:val="1FFC110C"/>
    <w:rsid w:val="1FFF7355"/>
    <w:rsid w:val="205D5396"/>
    <w:rsid w:val="20607B5D"/>
    <w:rsid w:val="20783807"/>
    <w:rsid w:val="20A91EFC"/>
    <w:rsid w:val="20CF7F96"/>
    <w:rsid w:val="20EA1D67"/>
    <w:rsid w:val="20FA2AFF"/>
    <w:rsid w:val="20FD2788"/>
    <w:rsid w:val="21084CCD"/>
    <w:rsid w:val="210F37AF"/>
    <w:rsid w:val="21464008"/>
    <w:rsid w:val="21475CC7"/>
    <w:rsid w:val="21801832"/>
    <w:rsid w:val="21840DCC"/>
    <w:rsid w:val="218F359B"/>
    <w:rsid w:val="21D31E74"/>
    <w:rsid w:val="22087E13"/>
    <w:rsid w:val="220F153E"/>
    <w:rsid w:val="221C0839"/>
    <w:rsid w:val="223163AC"/>
    <w:rsid w:val="2233437F"/>
    <w:rsid w:val="2242792A"/>
    <w:rsid w:val="226570FF"/>
    <w:rsid w:val="2282774A"/>
    <w:rsid w:val="228A12B2"/>
    <w:rsid w:val="22A86315"/>
    <w:rsid w:val="22AC456A"/>
    <w:rsid w:val="22AE6ABD"/>
    <w:rsid w:val="22AF501E"/>
    <w:rsid w:val="22BA2FF0"/>
    <w:rsid w:val="22CB3B0B"/>
    <w:rsid w:val="22D51F68"/>
    <w:rsid w:val="22E06D95"/>
    <w:rsid w:val="22EC488B"/>
    <w:rsid w:val="22F40716"/>
    <w:rsid w:val="2310065D"/>
    <w:rsid w:val="235F1377"/>
    <w:rsid w:val="2364248E"/>
    <w:rsid w:val="236B6199"/>
    <w:rsid w:val="23AD5423"/>
    <w:rsid w:val="23C8280C"/>
    <w:rsid w:val="23E074C9"/>
    <w:rsid w:val="23EE06FB"/>
    <w:rsid w:val="23F138CB"/>
    <w:rsid w:val="241C4056"/>
    <w:rsid w:val="242F6712"/>
    <w:rsid w:val="24763CFD"/>
    <w:rsid w:val="247817F4"/>
    <w:rsid w:val="24985F1A"/>
    <w:rsid w:val="24CF78BE"/>
    <w:rsid w:val="24DB4F85"/>
    <w:rsid w:val="24EA1783"/>
    <w:rsid w:val="24EE01CB"/>
    <w:rsid w:val="24F532B1"/>
    <w:rsid w:val="24FA6830"/>
    <w:rsid w:val="251F5D6F"/>
    <w:rsid w:val="252F12C4"/>
    <w:rsid w:val="254832A3"/>
    <w:rsid w:val="258669D9"/>
    <w:rsid w:val="25A36FEC"/>
    <w:rsid w:val="25AF15C5"/>
    <w:rsid w:val="25B56B5C"/>
    <w:rsid w:val="25CA5A9A"/>
    <w:rsid w:val="25E5332A"/>
    <w:rsid w:val="25E9789B"/>
    <w:rsid w:val="260E0C6C"/>
    <w:rsid w:val="26120985"/>
    <w:rsid w:val="26193842"/>
    <w:rsid w:val="265056D7"/>
    <w:rsid w:val="26647FFA"/>
    <w:rsid w:val="26846D89"/>
    <w:rsid w:val="268670FA"/>
    <w:rsid w:val="268C14C8"/>
    <w:rsid w:val="269A414A"/>
    <w:rsid w:val="26B7636A"/>
    <w:rsid w:val="26BC0110"/>
    <w:rsid w:val="26D77D41"/>
    <w:rsid w:val="274B5BE4"/>
    <w:rsid w:val="27707982"/>
    <w:rsid w:val="27725111"/>
    <w:rsid w:val="27764ED4"/>
    <w:rsid w:val="27872F4A"/>
    <w:rsid w:val="279D6ED7"/>
    <w:rsid w:val="27B1016D"/>
    <w:rsid w:val="27E840DF"/>
    <w:rsid w:val="27F20CAC"/>
    <w:rsid w:val="27F70666"/>
    <w:rsid w:val="28021744"/>
    <w:rsid w:val="281635CE"/>
    <w:rsid w:val="281838A3"/>
    <w:rsid w:val="28297F96"/>
    <w:rsid w:val="28A05D71"/>
    <w:rsid w:val="28B843D0"/>
    <w:rsid w:val="28C52289"/>
    <w:rsid w:val="28ED7B63"/>
    <w:rsid w:val="2913092D"/>
    <w:rsid w:val="291E130F"/>
    <w:rsid w:val="292D466D"/>
    <w:rsid w:val="293272F7"/>
    <w:rsid w:val="29406F28"/>
    <w:rsid w:val="29464C61"/>
    <w:rsid w:val="294C014F"/>
    <w:rsid w:val="296A422E"/>
    <w:rsid w:val="297C60C9"/>
    <w:rsid w:val="29804F68"/>
    <w:rsid w:val="2986071C"/>
    <w:rsid w:val="29890E95"/>
    <w:rsid w:val="29C94B04"/>
    <w:rsid w:val="29D42B3E"/>
    <w:rsid w:val="29F26643"/>
    <w:rsid w:val="2A053396"/>
    <w:rsid w:val="2A0B277E"/>
    <w:rsid w:val="2A1966B3"/>
    <w:rsid w:val="2A35076D"/>
    <w:rsid w:val="2A3E0576"/>
    <w:rsid w:val="2A6F0AF0"/>
    <w:rsid w:val="2A9E5BD8"/>
    <w:rsid w:val="2AE13A06"/>
    <w:rsid w:val="2AEE0F05"/>
    <w:rsid w:val="2AF8332F"/>
    <w:rsid w:val="2B12403E"/>
    <w:rsid w:val="2B493E3A"/>
    <w:rsid w:val="2B4A445A"/>
    <w:rsid w:val="2B4F2DEA"/>
    <w:rsid w:val="2B73049F"/>
    <w:rsid w:val="2BF9217C"/>
    <w:rsid w:val="2C383D3E"/>
    <w:rsid w:val="2C432EAA"/>
    <w:rsid w:val="2C596380"/>
    <w:rsid w:val="2C736D50"/>
    <w:rsid w:val="2C8B2BC6"/>
    <w:rsid w:val="2C8E6135"/>
    <w:rsid w:val="2CB34D3E"/>
    <w:rsid w:val="2CB3656E"/>
    <w:rsid w:val="2CB72D2A"/>
    <w:rsid w:val="2CCE7805"/>
    <w:rsid w:val="2CD330AC"/>
    <w:rsid w:val="2CE330DA"/>
    <w:rsid w:val="2CF56067"/>
    <w:rsid w:val="2D20673F"/>
    <w:rsid w:val="2D340536"/>
    <w:rsid w:val="2D46244E"/>
    <w:rsid w:val="2D5E614E"/>
    <w:rsid w:val="2D6526B8"/>
    <w:rsid w:val="2D6A456A"/>
    <w:rsid w:val="2D6C6EA5"/>
    <w:rsid w:val="2D8D63FC"/>
    <w:rsid w:val="2D9001C0"/>
    <w:rsid w:val="2D9178B5"/>
    <w:rsid w:val="2DA037EE"/>
    <w:rsid w:val="2DBF4F02"/>
    <w:rsid w:val="2DCC0357"/>
    <w:rsid w:val="2E163F36"/>
    <w:rsid w:val="2E193FF3"/>
    <w:rsid w:val="2E4A6836"/>
    <w:rsid w:val="2E621F4C"/>
    <w:rsid w:val="2E723A0B"/>
    <w:rsid w:val="2EA027FC"/>
    <w:rsid w:val="2EA16265"/>
    <w:rsid w:val="2EB17E93"/>
    <w:rsid w:val="2EBE60EF"/>
    <w:rsid w:val="2EC1119A"/>
    <w:rsid w:val="2ED0321D"/>
    <w:rsid w:val="2ED33B30"/>
    <w:rsid w:val="2EF47ED3"/>
    <w:rsid w:val="2EFA530B"/>
    <w:rsid w:val="2F1F7B61"/>
    <w:rsid w:val="2F46121E"/>
    <w:rsid w:val="2F573D9C"/>
    <w:rsid w:val="2F6159E6"/>
    <w:rsid w:val="2F994061"/>
    <w:rsid w:val="2FB04C0A"/>
    <w:rsid w:val="2FB54F1C"/>
    <w:rsid w:val="2FB57F91"/>
    <w:rsid w:val="2FBE0F69"/>
    <w:rsid w:val="2FC63677"/>
    <w:rsid w:val="2FDF6CF0"/>
    <w:rsid w:val="3016087E"/>
    <w:rsid w:val="303C1278"/>
    <w:rsid w:val="30B648F9"/>
    <w:rsid w:val="30DB3E67"/>
    <w:rsid w:val="30DF0B09"/>
    <w:rsid w:val="30E271AF"/>
    <w:rsid w:val="30E35C52"/>
    <w:rsid w:val="30F42243"/>
    <w:rsid w:val="31025390"/>
    <w:rsid w:val="31226B6B"/>
    <w:rsid w:val="31343884"/>
    <w:rsid w:val="31810897"/>
    <w:rsid w:val="318763C5"/>
    <w:rsid w:val="31A43BFD"/>
    <w:rsid w:val="31A57E28"/>
    <w:rsid w:val="31AB712B"/>
    <w:rsid w:val="31AC41B1"/>
    <w:rsid w:val="31C87137"/>
    <w:rsid w:val="31CD3E1F"/>
    <w:rsid w:val="31F01351"/>
    <w:rsid w:val="32325AB8"/>
    <w:rsid w:val="324C4071"/>
    <w:rsid w:val="325A37A3"/>
    <w:rsid w:val="326E7079"/>
    <w:rsid w:val="32B51C3E"/>
    <w:rsid w:val="32DA77BE"/>
    <w:rsid w:val="32E90A9A"/>
    <w:rsid w:val="32FE19AA"/>
    <w:rsid w:val="33265F1B"/>
    <w:rsid w:val="33366E6E"/>
    <w:rsid w:val="333E0167"/>
    <w:rsid w:val="334A5B18"/>
    <w:rsid w:val="33530CB3"/>
    <w:rsid w:val="335C0DF2"/>
    <w:rsid w:val="33924F73"/>
    <w:rsid w:val="339B4EFE"/>
    <w:rsid w:val="33C028DF"/>
    <w:rsid w:val="33C81007"/>
    <w:rsid w:val="344315F2"/>
    <w:rsid w:val="344E2290"/>
    <w:rsid w:val="3495394C"/>
    <w:rsid w:val="34D975F9"/>
    <w:rsid w:val="353F16E2"/>
    <w:rsid w:val="357661EF"/>
    <w:rsid w:val="35B63AFD"/>
    <w:rsid w:val="35EA444C"/>
    <w:rsid w:val="3608530A"/>
    <w:rsid w:val="361B195A"/>
    <w:rsid w:val="3623635E"/>
    <w:rsid w:val="367E77BE"/>
    <w:rsid w:val="368B1350"/>
    <w:rsid w:val="36AA42CA"/>
    <w:rsid w:val="36D17C44"/>
    <w:rsid w:val="36D319FD"/>
    <w:rsid w:val="36DA487C"/>
    <w:rsid w:val="36E41F37"/>
    <w:rsid w:val="373F7F54"/>
    <w:rsid w:val="374559E0"/>
    <w:rsid w:val="376717F5"/>
    <w:rsid w:val="376756AA"/>
    <w:rsid w:val="376E7839"/>
    <w:rsid w:val="377C3F47"/>
    <w:rsid w:val="37CF46DD"/>
    <w:rsid w:val="37DF52C0"/>
    <w:rsid w:val="37ED1D96"/>
    <w:rsid w:val="37FC246C"/>
    <w:rsid w:val="38070D56"/>
    <w:rsid w:val="38466735"/>
    <w:rsid w:val="3851513D"/>
    <w:rsid w:val="38765704"/>
    <w:rsid w:val="388A4EB0"/>
    <w:rsid w:val="38DD7D12"/>
    <w:rsid w:val="38DF1123"/>
    <w:rsid w:val="38E03C22"/>
    <w:rsid w:val="38E43DBB"/>
    <w:rsid w:val="38F6796C"/>
    <w:rsid w:val="392B373C"/>
    <w:rsid w:val="394D7587"/>
    <w:rsid w:val="39641679"/>
    <w:rsid w:val="396C43CB"/>
    <w:rsid w:val="39BD2EAB"/>
    <w:rsid w:val="39C042A1"/>
    <w:rsid w:val="39D34453"/>
    <w:rsid w:val="39FE33EA"/>
    <w:rsid w:val="3A083625"/>
    <w:rsid w:val="3A114A1D"/>
    <w:rsid w:val="3A4A3109"/>
    <w:rsid w:val="3A531F69"/>
    <w:rsid w:val="3A54483F"/>
    <w:rsid w:val="3A603A98"/>
    <w:rsid w:val="3A834703"/>
    <w:rsid w:val="3A8E32F7"/>
    <w:rsid w:val="3A93223F"/>
    <w:rsid w:val="3B047F85"/>
    <w:rsid w:val="3B066C41"/>
    <w:rsid w:val="3B54111A"/>
    <w:rsid w:val="3B9F5388"/>
    <w:rsid w:val="3BB77C52"/>
    <w:rsid w:val="3BCF7727"/>
    <w:rsid w:val="3BE464A5"/>
    <w:rsid w:val="3C0F6DDA"/>
    <w:rsid w:val="3C4704B5"/>
    <w:rsid w:val="3C55248D"/>
    <w:rsid w:val="3C6C41BF"/>
    <w:rsid w:val="3C733EDC"/>
    <w:rsid w:val="3C796E2D"/>
    <w:rsid w:val="3C7F1FED"/>
    <w:rsid w:val="3C8961F6"/>
    <w:rsid w:val="3CA02E18"/>
    <w:rsid w:val="3CAF4754"/>
    <w:rsid w:val="3CAF7C13"/>
    <w:rsid w:val="3CBE4608"/>
    <w:rsid w:val="3CC2508D"/>
    <w:rsid w:val="3CE555EF"/>
    <w:rsid w:val="3CE70FDA"/>
    <w:rsid w:val="3CEA7A79"/>
    <w:rsid w:val="3CEC3ADE"/>
    <w:rsid w:val="3D1C4244"/>
    <w:rsid w:val="3D274A1E"/>
    <w:rsid w:val="3D2D2AA3"/>
    <w:rsid w:val="3D3E1554"/>
    <w:rsid w:val="3D4730D2"/>
    <w:rsid w:val="3D5A6D50"/>
    <w:rsid w:val="3D675F81"/>
    <w:rsid w:val="3D816D94"/>
    <w:rsid w:val="3D9962D2"/>
    <w:rsid w:val="3DC727A6"/>
    <w:rsid w:val="3DC9126A"/>
    <w:rsid w:val="3DDC08EC"/>
    <w:rsid w:val="3DE950AB"/>
    <w:rsid w:val="3DF37A49"/>
    <w:rsid w:val="3DF63B22"/>
    <w:rsid w:val="3E013F0D"/>
    <w:rsid w:val="3E054DEE"/>
    <w:rsid w:val="3E085C74"/>
    <w:rsid w:val="3E4D4ABE"/>
    <w:rsid w:val="3E5D7A91"/>
    <w:rsid w:val="3E6417DA"/>
    <w:rsid w:val="3E6D70C7"/>
    <w:rsid w:val="3EA53801"/>
    <w:rsid w:val="3EAE3C10"/>
    <w:rsid w:val="3ECA67F3"/>
    <w:rsid w:val="3EE75FE3"/>
    <w:rsid w:val="3F0F4DF7"/>
    <w:rsid w:val="3F2963F0"/>
    <w:rsid w:val="3F33750C"/>
    <w:rsid w:val="3F453304"/>
    <w:rsid w:val="3F6A2852"/>
    <w:rsid w:val="3F7A36E1"/>
    <w:rsid w:val="3FD66DF6"/>
    <w:rsid w:val="3FF41660"/>
    <w:rsid w:val="3FFE33E8"/>
    <w:rsid w:val="40007475"/>
    <w:rsid w:val="40302125"/>
    <w:rsid w:val="407B4851"/>
    <w:rsid w:val="40BA2448"/>
    <w:rsid w:val="40BC3266"/>
    <w:rsid w:val="40E45AA3"/>
    <w:rsid w:val="40E64946"/>
    <w:rsid w:val="41021285"/>
    <w:rsid w:val="410A69C8"/>
    <w:rsid w:val="412A13CF"/>
    <w:rsid w:val="412D17F3"/>
    <w:rsid w:val="413F008E"/>
    <w:rsid w:val="414C1415"/>
    <w:rsid w:val="41741500"/>
    <w:rsid w:val="418208E1"/>
    <w:rsid w:val="41AF55F1"/>
    <w:rsid w:val="41B963BF"/>
    <w:rsid w:val="41E27904"/>
    <w:rsid w:val="41E46C7E"/>
    <w:rsid w:val="41E63A38"/>
    <w:rsid w:val="42032CA5"/>
    <w:rsid w:val="421C31B8"/>
    <w:rsid w:val="42247F1D"/>
    <w:rsid w:val="427D315F"/>
    <w:rsid w:val="42953F33"/>
    <w:rsid w:val="42CC35CD"/>
    <w:rsid w:val="42D0325B"/>
    <w:rsid w:val="42D0377F"/>
    <w:rsid w:val="42D8556E"/>
    <w:rsid w:val="42DB704F"/>
    <w:rsid w:val="42E55D92"/>
    <w:rsid w:val="431D75A9"/>
    <w:rsid w:val="43260138"/>
    <w:rsid w:val="433A74FE"/>
    <w:rsid w:val="43451DE1"/>
    <w:rsid w:val="434F573C"/>
    <w:rsid w:val="43864492"/>
    <w:rsid w:val="43993E20"/>
    <w:rsid w:val="43A10D82"/>
    <w:rsid w:val="43D008D9"/>
    <w:rsid w:val="43D9396E"/>
    <w:rsid w:val="4404391F"/>
    <w:rsid w:val="44212541"/>
    <w:rsid w:val="443067AF"/>
    <w:rsid w:val="44383038"/>
    <w:rsid w:val="44402414"/>
    <w:rsid w:val="44646A76"/>
    <w:rsid w:val="448C23B5"/>
    <w:rsid w:val="449E6DAD"/>
    <w:rsid w:val="44AA0770"/>
    <w:rsid w:val="44BC487C"/>
    <w:rsid w:val="44BF40F7"/>
    <w:rsid w:val="44D3651C"/>
    <w:rsid w:val="451318D4"/>
    <w:rsid w:val="451F52CA"/>
    <w:rsid w:val="45226BED"/>
    <w:rsid w:val="452B451F"/>
    <w:rsid w:val="45327BA9"/>
    <w:rsid w:val="456D44E9"/>
    <w:rsid w:val="45744023"/>
    <w:rsid w:val="45751A8D"/>
    <w:rsid w:val="45846E8C"/>
    <w:rsid w:val="45A728AA"/>
    <w:rsid w:val="45C2101A"/>
    <w:rsid w:val="45F173D4"/>
    <w:rsid w:val="460114DC"/>
    <w:rsid w:val="460B68F8"/>
    <w:rsid w:val="461B7C57"/>
    <w:rsid w:val="462D4EC5"/>
    <w:rsid w:val="4664712E"/>
    <w:rsid w:val="46B63BF6"/>
    <w:rsid w:val="46D07C6A"/>
    <w:rsid w:val="470C0AC4"/>
    <w:rsid w:val="47200950"/>
    <w:rsid w:val="473A23C2"/>
    <w:rsid w:val="476C3B86"/>
    <w:rsid w:val="478D1AC5"/>
    <w:rsid w:val="48133E03"/>
    <w:rsid w:val="484B022F"/>
    <w:rsid w:val="48557453"/>
    <w:rsid w:val="485F2B99"/>
    <w:rsid w:val="48766301"/>
    <w:rsid w:val="48936F0F"/>
    <w:rsid w:val="48A4391D"/>
    <w:rsid w:val="48C87EA7"/>
    <w:rsid w:val="48CC4934"/>
    <w:rsid w:val="49074EEF"/>
    <w:rsid w:val="49186728"/>
    <w:rsid w:val="4921625B"/>
    <w:rsid w:val="492E5F19"/>
    <w:rsid w:val="49366069"/>
    <w:rsid w:val="496462AB"/>
    <w:rsid w:val="49741413"/>
    <w:rsid w:val="497E2173"/>
    <w:rsid w:val="49860697"/>
    <w:rsid w:val="499F6756"/>
    <w:rsid w:val="49C878C2"/>
    <w:rsid w:val="49D025CE"/>
    <w:rsid w:val="49D80794"/>
    <w:rsid w:val="4A110734"/>
    <w:rsid w:val="4A173CD9"/>
    <w:rsid w:val="4A2C31EA"/>
    <w:rsid w:val="4A345B9D"/>
    <w:rsid w:val="4A4C0683"/>
    <w:rsid w:val="4A4D29E0"/>
    <w:rsid w:val="4A7253B9"/>
    <w:rsid w:val="4A7952AA"/>
    <w:rsid w:val="4A905DA8"/>
    <w:rsid w:val="4A9B38B5"/>
    <w:rsid w:val="4AAC3F6F"/>
    <w:rsid w:val="4AAE3323"/>
    <w:rsid w:val="4AD30B25"/>
    <w:rsid w:val="4B0402BA"/>
    <w:rsid w:val="4B155ABD"/>
    <w:rsid w:val="4B192568"/>
    <w:rsid w:val="4B396B73"/>
    <w:rsid w:val="4B494F70"/>
    <w:rsid w:val="4B4E4D83"/>
    <w:rsid w:val="4B680595"/>
    <w:rsid w:val="4B733B89"/>
    <w:rsid w:val="4B7D6059"/>
    <w:rsid w:val="4B7E7798"/>
    <w:rsid w:val="4B8712BF"/>
    <w:rsid w:val="4B8B1A34"/>
    <w:rsid w:val="4B9A4CC1"/>
    <w:rsid w:val="4BB227E1"/>
    <w:rsid w:val="4C4C0939"/>
    <w:rsid w:val="4C6941C5"/>
    <w:rsid w:val="4C6D7B69"/>
    <w:rsid w:val="4C820978"/>
    <w:rsid w:val="4CE97F17"/>
    <w:rsid w:val="4CF249E4"/>
    <w:rsid w:val="4D047383"/>
    <w:rsid w:val="4D05308E"/>
    <w:rsid w:val="4D0712D9"/>
    <w:rsid w:val="4D104141"/>
    <w:rsid w:val="4D545166"/>
    <w:rsid w:val="4D581963"/>
    <w:rsid w:val="4D642EFA"/>
    <w:rsid w:val="4D754E72"/>
    <w:rsid w:val="4D80612A"/>
    <w:rsid w:val="4D8A3F55"/>
    <w:rsid w:val="4DFE6975"/>
    <w:rsid w:val="4E157510"/>
    <w:rsid w:val="4E1D5DD7"/>
    <w:rsid w:val="4E3243F2"/>
    <w:rsid w:val="4E4B78E5"/>
    <w:rsid w:val="4E522816"/>
    <w:rsid w:val="4E5C09C9"/>
    <w:rsid w:val="4E5F5024"/>
    <w:rsid w:val="4E81102E"/>
    <w:rsid w:val="4ED83148"/>
    <w:rsid w:val="4EF45EF5"/>
    <w:rsid w:val="4F2A792B"/>
    <w:rsid w:val="4F644E56"/>
    <w:rsid w:val="4F6C5086"/>
    <w:rsid w:val="4F94108E"/>
    <w:rsid w:val="4FBD53D4"/>
    <w:rsid w:val="4FC62972"/>
    <w:rsid w:val="4FFF692E"/>
    <w:rsid w:val="50387E4B"/>
    <w:rsid w:val="50596489"/>
    <w:rsid w:val="50641646"/>
    <w:rsid w:val="50711318"/>
    <w:rsid w:val="509638E3"/>
    <w:rsid w:val="50F452E3"/>
    <w:rsid w:val="514505A1"/>
    <w:rsid w:val="515677A3"/>
    <w:rsid w:val="516E3DEB"/>
    <w:rsid w:val="51787DF1"/>
    <w:rsid w:val="51CD32FF"/>
    <w:rsid w:val="51D22073"/>
    <w:rsid w:val="51FC508B"/>
    <w:rsid w:val="51FD730E"/>
    <w:rsid w:val="521D4A1B"/>
    <w:rsid w:val="5222755A"/>
    <w:rsid w:val="522B3ACD"/>
    <w:rsid w:val="527D3BDE"/>
    <w:rsid w:val="527F6ED1"/>
    <w:rsid w:val="529458FF"/>
    <w:rsid w:val="529F3692"/>
    <w:rsid w:val="52A41E5F"/>
    <w:rsid w:val="52A728FA"/>
    <w:rsid w:val="52BC495C"/>
    <w:rsid w:val="52F96EE1"/>
    <w:rsid w:val="53631AAC"/>
    <w:rsid w:val="537E470F"/>
    <w:rsid w:val="53943794"/>
    <w:rsid w:val="53C35AF4"/>
    <w:rsid w:val="53C904B1"/>
    <w:rsid w:val="53DD4CFF"/>
    <w:rsid w:val="53FF03DD"/>
    <w:rsid w:val="540D0DB5"/>
    <w:rsid w:val="5448427D"/>
    <w:rsid w:val="545C22BC"/>
    <w:rsid w:val="54665E89"/>
    <w:rsid w:val="5483457F"/>
    <w:rsid w:val="549248E1"/>
    <w:rsid w:val="54A70A7B"/>
    <w:rsid w:val="54D1493B"/>
    <w:rsid w:val="54EF65DD"/>
    <w:rsid w:val="5512499D"/>
    <w:rsid w:val="555A0137"/>
    <w:rsid w:val="555B1F73"/>
    <w:rsid w:val="557B524D"/>
    <w:rsid w:val="55A03F1A"/>
    <w:rsid w:val="55BA666D"/>
    <w:rsid w:val="55CB2AD8"/>
    <w:rsid w:val="560C1B5E"/>
    <w:rsid w:val="561D73EA"/>
    <w:rsid w:val="56280BC6"/>
    <w:rsid w:val="56313F10"/>
    <w:rsid w:val="56394B65"/>
    <w:rsid w:val="564F6D06"/>
    <w:rsid w:val="567E03C3"/>
    <w:rsid w:val="56814756"/>
    <w:rsid w:val="57773A35"/>
    <w:rsid w:val="5783793F"/>
    <w:rsid w:val="578D4D2C"/>
    <w:rsid w:val="57AC7000"/>
    <w:rsid w:val="57B739B8"/>
    <w:rsid w:val="57F24DCA"/>
    <w:rsid w:val="58097892"/>
    <w:rsid w:val="58150082"/>
    <w:rsid w:val="58192A1B"/>
    <w:rsid w:val="58404F28"/>
    <w:rsid w:val="58506058"/>
    <w:rsid w:val="585373D4"/>
    <w:rsid w:val="58546FCD"/>
    <w:rsid w:val="5879699E"/>
    <w:rsid w:val="58BF085C"/>
    <w:rsid w:val="58CA773E"/>
    <w:rsid w:val="58D7266D"/>
    <w:rsid w:val="58D90DE1"/>
    <w:rsid w:val="58F502E1"/>
    <w:rsid w:val="592A384E"/>
    <w:rsid w:val="59370C72"/>
    <w:rsid w:val="594232DE"/>
    <w:rsid w:val="59895665"/>
    <w:rsid w:val="599414B9"/>
    <w:rsid w:val="599B4085"/>
    <w:rsid w:val="59AA0C5B"/>
    <w:rsid w:val="59AC1BE4"/>
    <w:rsid w:val="59B059C9"/>
    <w:rsid w:val="59CA72E2"/>
    <w:rsid w:val="59D8317F"/>
    <w:rsid w:val="5A1F00C6"/>
    <w:rsid w:val="5A417571"/>
    <w:rsid w:val="5A4F1E3C"/>
    <w:rsid w:val="5A507EB5"/>
    <w:rsid w:val="5A58348F"/>
    <w:rsid w:val="5A61169C"/>
    <w:rsid w:val="5A914787"/>
    <w:rsid w:val="5AB808D7"/>
    <w:rsid w:val="5AF53ED7"/>
    <w:rsid w:val="5AFB7224"/>
    <w:rsid w:val="5B064F1C"/>
    <w:rsid w:val="5B1426AE"/>
    <w:rsid w:val="5B450077"/>
    <w:rsid w:val="5B6D1F68"/>
    <w:rsid w:val="5B9D74E1"/>
    <w:rsid w:val="5C0F2F3F"/>
    <w:rsid w:val="5C1028BB"/>
    <w:rsid w:val="5C2E26DB"/>
    <w:rsid w:val="5C5C1FF3"/>
    <w:rsid w:val="5C622F6C"/>
    <w:rsid w:val="5C737BB6"/>
    <w:rsid w:val="5C896A4D"/>
    <w:rsid w:val="5CAA4FA3"/>
    <w:rsid w:val="5CB955B3"/>
    <w:rsid w:val="5CC73360"/>
    <w:rsid w:val="5CF619FC"/>
    <w:rsid w:val="5D1440D5"/>
    <w:rsid w:val="5D4354E9"/>
    <w:rsid w:val="5DBB7876"/>
    <w:rsid w:val="5DF169D2"/>
    <w:rsid w:val="5DF735F2"/>
    <w:rsid w:val="5DF81FD0"/>
    <w:rsid w:val="5E4020C0"/>
    <w:rsid w:val="5E893D48"/>
    <w:rsid w:val="5EA93FC5"/>
    <w:rsid w:val="5EB040EC"/>
    <w:rsid w:val="5EB97E90"/>
    <w:rsid w:val="5EE12C23"/>
    <w:rsid w:val="5EE429F6"/>
    <w:rsid w:val="5EE8674D"/>
    <w:rsid w:val="5EE97EC9"/>
    <w:rsid w:val="5EEA35FA"/>
    <w:rsid w:val="5EF26D13"/>
    <w:rsid w:val="5F066A84"/>
    <w:rsid w:val="5F187C14"/>
    <w:rsid w:val="5F3427DB"/>
    <w:rsid w:val="5F4B25CA"/>
    <w:rsid w:val="5F5C2844"/>
    <w:rsid w:val="5F7508A0"/>
    <w:rsid w:val="5FC843D5"/>
    <w:rsid w:val="5FCD38E5"/>
    <w:rsid w:val="5FD860CC"/>
    <w:rsid w:val="5FEC7D2A"/>
    <w:rsid w:val="600629BD"/>
    <w:rsid w:val="605D2127"/>
    <w:rsid w:val="606E25F9"/>
    <w:rsid w:val="60773FAB"/>
    <w:rsid w:val="607E6999"/>
    <w:rsid w:val="60C632D5"/>
    <w:rsid w:val="60CD6E06"/>
    <w:rsid w:val="610004FD"/>
    <w:rsid w:val="611C6F66"/>
    <w:rsid w:val="61554907"/>
    <w:rsid w:val="615F261E"/>
    <w:rsid w:val="61762DAE"/>
    <w:rsid w:val="619C4953"/>
    <w:rsid w:val="619F045D"/>
    <w:rsid w:val="61DA44AE"/>
    <w:rsid w:val="61FB552C"/>
    <w:rsid w:val="620A09AD"/>
    <w:rsid w:val="620D5B0C"/>
    <w:rsid w:val="622A074A"/>
    <w:rsid w:val="625B50B0"/>
    <w:rsid w:val="62763F5A"/>
    <w:rsid w:val="62F845CE"/>
    <w:rsid w:val="631D28AC"/>
    <w:rsid w:val="632672E7"/>
    <w:rsid w:val="63287ABE"/>
    <w:rsid w:val="63663B58"/>
    <w:rsid w:val="638E549A"/>
    <w:rsid w:val="63990BFC"/>
    <w:rsid w:val="63C151E2"/>
    <w:rsid w:val="63D215AB"/>
    <w:rsid w:val="63D26674"/>
    <w:rsid w:val="63F83121"/>
    <w:rsid w:val="641C7F97"/>
    <w:rsid w:val="643C6CB2"/>
    <w:rsid w:val="64550059"/>
    <w:rsid w:val="64A52E29"/>
    <w:rsid w:val="64A6484F"/>
    <w:rsid w:val="64C57198"/>
    <w:rsid w:val="64E963AC"/>
    <w:rsid w:val="64EC4A5F"/>
    <w:rsid w:val="65075823"/>
    <w:rsid w:val="65104056"/>
    <w:rsid w:val="65255695"/>
    <w:rsid w:val="652807B1"/>
    <w:rsid w:val="656C5DA3"/>
    <w:rsid w:val="65A64D59"/>
    <w:rsid w:val="65DB489F"/>
    <w:rsid w:val="660F261A"/>
    <w:rsid w:val="661769E0"/>
    <w:rsid w:val="662D0B67"/>
    <w:rsid w:val="6639098A"/>
    <w:rsid w:val="667713A0"/>
    <w:rsid w:val="6685046D"/>
    <w:rsid w:val="66C73C48"/>
    <w:rsid w:val="66D23FED"/>
    <w:rsid w:val="66DD3868"/>
    <w:rsid w:val="66FC7EE4"/>
    <w:rsid w:val="66FE49B9"/>
    <w:rsid w:val="67256795"/>
    <w:rsid w:val="672A3397"/>
    <w:rsid w:val="674902DA"/>
    <w:rsid w:val="67582D44"/>
    <w:rsid w:val="67704B34"/>
    <w:rsid w:val="67B6342E"/>
    <w:rsid w:val="67C455E3"/>
    <w:rsid w:val="67C65FC3"/>
    <w:rsid w:val="67D250E8"/>
    <w:rsid w:val="67DF5731"/>
    <w:rsid w:val="67E347E1"/>
    <w:rsid w:val="681D09A9"/>
    <w:rsid w:val="682C378B"/>
    <w:rsid w:val="68521DFC"/>
    <w:rsid w:val="68661C27"/>
    <w:rsid w:val="68727D6A"/>
    <w:rsid w:val="6874526D"/>
    <w:rsid w:val="68746675"/>
    <w:rsid w:val="689F7CF6"/>
    <w:rsid w:val="68DA5F3F"/>
    <w:rsid w:val="68EB6CAD"/>
    <w:rsid w:val="690D6B77"/>
    <w:rsid w:val="69606C4C"/>
    <w:rsid w:val="69967E0E"/>
    <w:rsid w:val="69A26D2B"/>
    <w:rsid w:val="69B138A6"/>
    <w:rsid w:val="69D56DDB"/>
    <w:rsid w:val="69DE0636"/>
    <w:rsid w:val="69F46992"/>
    <w:rsid w:val="6A1B6291"/>
    <w:rsid w:val="6A295D15"/>
    <w:rsid w:val="6A3A25D5"/>
    <w:rsid w:val="6A4166CD"/>
    <w:rsid w:val="6A4F57C1"/>
    <w:rsid w:val="6A6818F5"/>
    <w:rsid w:val="6A6A7B45"/>
    <w:rsid w:val="6A717636"/>
    <w:rsid w:val="6A9341B7"/>
    <w:rsid w:val="6AA04398"/>
    <w:rsid w:val="6AEE6193"/>
    <w:rsid w:val="6B055281"/>
    <w:rsid w:val="6B254B41"/>
    <w:rsid w:val="6BB517F9"/>
    <w:rsid w:val="6BD40236"/>
    <w:rsid w:val="6BDA63A5"/>
    <w:rsid w:val="6BE136AA"/>
    <w:rsid w:val="6BEA430A"/>
    <w:rsid w:val="6C030FBA"/>
    <w:rsid w:val="6C0C1D4B"/>
    <w:rsid w:val="6C2103FC"/>
    <w:rsid w:val="6C50080B"/>
    <w:rsid w:val="6C6342E3"/>
    <w:rsid w:val="6C856B75"/>
    <w:rsid w:val="6C941AA7"/>
    <w:rsid w:val="6C9E7F9D"/>
    <w:rsid w:val="6CC7051F"/>
    <w:rsid w:val="6CDB2625"/>
    <w:rsid w:val="6CEF4F23"/>
    <w:rsid w:val="6CFB0454"/>
    <w:rsid w:val="6CFC2055"/>
    <w:rsid w:val="6CFD44D2"/>
    <w:rsid w:val="6D0810D3"/>
    <w:rsid w:val="6D5B4306"/>
    <w:rsid w:val="6D5D321A"/>
    <w:rsid w:val="6D6B301A"/>
    <w:rsid w:val="6DA62742"/>
    <w:rsid w:val="6DCF7DA6"/>
    <w:rsid w:val="6DDE5909"/>
    <w:rsid w:val="6DE83279"/>
    <w:rsid w:val="6DF46560"/>
    <w:rsid w:val="6E1F750C"/>
    <w:rsid w:val="6E410A45"/>
    <w:rsid w:val="6E6C2CFB"/>
    <w:rsid w:val="6E9643BD"/>
    <w:rsid w:val="6EB22B96"/>
    <w:rsid w:val="6EBD09FE"/>
    <w:rsid w:val="6EBE3CD0"/>
    <w:rsid w:val="6EC010DA"/>
    <w:rsid w:val="6F315351"/>
    <w:rsid w:val="6F4F18F6"/>
    <w:rsid w:val="6F6876E3"/>
    <w:rsid w:val="6F832C9B"/>
    <w:rsid w:val="6F994C6E"/>
    <w:rsid w:val="6F9E7A34"/>
    <w:rsid w:val="6FA10949"/>
    <w:rsid w:val="6FB21800"/>
    <w:rsid w:val="6FB83C04"/>
    <w:rsid w:val="700E0D03"/>
    <w:rsid w:val="70386598"/>
    <w:rsid w:val="703B6A15"/>
    <w:rsid w:val="70820D6D"/>
    <w:rsid w:val="70D300BC"/>
    <w:rsid w:val="70E15D19"/>
    <w:rsid w:val="70EB41CF"/>
    <w:rsid w:val="71176FB5"/>
    <w:rsid w:val="715F5FDD"/>
    <w:rsid w:val="717E7C72"/>
    <w:rsid w:val="71957F3D"/>
    <w:rsid w:val="71A045F6"/>
    <w:rsid w:val="71EB018C"/>
    <w:rsid w:val="722F49C0"/>
    <w:rsid w:val="72306EE7"/>
    <w:rsid w:val="7263048C"/>
    <w:rsid w:val="72657513"/>
    <w:rsid w:val="72783D21"/>
    <w:rsid w:val="72797DC4"/>
    <w:rsid w:val="7299705C"/>
    <w:rsid w:val="72C11F5D"/>
    <w:rsid w:val="72FE7D78"/>
    <w:rsid w:val="73025E45"/>
    <w:rsid w:val="73094DB0"/>
    <w:rsid w:val="73496F40"/>
    <w:rsid w:val="73511DEA"/>
    <w:rsid w:val="73B53D8B"/>
    <w:rsid w:val="73C313B2"/>
    <w:rsid w:val="73FE6C6A"/>
    <w:rsid w:val="740457AA"/>
    <w:rsid w:val="74380FC8"/>
    <w:rsid w:val="744E1938"/>
    <w:rsid w:val="744F31B9"/>
    <w:rsid w:val="74567247"/>
    <w:rsid w:val="746C4AA2"/>
    <w:rsid w:val="7485475E"/>
    <w:rsid w:val="74F23605"/>
    <w:rsid w:val="74F8444C"/>
    <w:rsid w:val="75134D52"/>
    <w:rsid w:val="75164C04"/>
    <w:rsid w:val="753862A3"/>
    <w:rsid w:val="75413FA0"/>
    <w:rsid w:val="754242A8"/>
    <w:rsid w:val="756346DD"/>
    <w:rsid w:val="75660359"/>
    <w:rsid w:val="75864021"/>
    <w:rsid w:val="75CD607D"/>
    <w:rsid w:val="75E0584B"/>
    <w:rsid w:val="75E90A62"/>
    <w:rsid w:val="76003CEF"/>
    <w:rsid w:val="76125FC1"/>
    <w:rsid w:val="765808D6"/>
    <w:rsid w:val="76A71D86"/>
    <w:rsid w:val="76EF15DB"/>
    <w:rsid w:val="76F32A91"/>
    <w:rsid w:val="77054F7C"/>
    <w:rsid w:val="770A4D4B"/>
    <w:rsid w:val="773149C0"/>
    <w:rsid w:val="775458CA"/>
    <w:rsid w:val="77573C7B"/>
    <w:rsid w:val="7779453B"/>
    <w:rsid w:val="778E1362"/>
    <w:rsid w:val="77906459"/>
    <w:rsid w:val="77A10AFD"/>
    <w:rsid w:val="77C27C57"/>
    <w:rsid w:val="77DE77A0"/>
    <w:rsid w:val="77FE1777"/>
    <w:rsid w:val="780144B6"/>
    <w:rsid w:val="784C0769"/>
    <w:rsid w:val="787B1270"/>
    <w:rsid w:val="789607B4"/>
    <w:rsid w:val="7899046A"/>
    <w:rsid w:val="78B6124F"/>
    <w:rsid w:val="78C52C10"/>
    <w:rsid w:val="78CB6EF1"/>
    <w:rsid w:val="78E15C77"/>
    <w:rsid w:val="78FA2699"/>
    <w:rsid w:val="791D06C0"/>
    <w:rsid w:val="79201AD5"/>
    <w:rsid w:val="79223271"/>
    <w:rsid w:val="79234504"/>
    <w:rsid w:val="794844B7"/>
    <w:rsid w:val="79496F13"/>
    <w:rsid w:val="794B5626"/>
    <w:rsid w:val="79900FBC"/>
    <w:rsid w:val="79A101E3"/>
    <w:rsid w:val="79B057F2"/>
    <w:rsid w:val="79D84802"/>
    <w:rsid w:val="79E422AE"/>
    <w:rsid w:val="7A54419A"/>
    <w:rsid w:val="7A717994"/>
    <w:rsid w:val="7A804077"/>
    <w:rsid w:val="7AA844D2"/>
    <w:rsid w:val="7AC40C96"/>
    <w:rsid w:val="7ACD5ED5"/>
    <w:rsid w:val="7ADC0343"/>
    <w:rsid w:val="7AF704B8"/>
    <w:rsid w:val="7B020E52"/>
    <w:rsid w:val="7B022FF3"/>
    <w:rsid w:val="7B03564D"/>
    <w:rsid w:val="7B3D599C"/>
    <w:rsid w:val="7B676CB5"/>
    <w:rsid w:val="7B693023"/>
    <w:rsid w:val="7B6E6001"/>
    <w:rsid w:val="7B79708C"/>
    <w:rsid w:val="7BA45C47"/>
    <w:rsid w:val="7BC76106"/>
    <w:rsid w:val="7BEC4E7D"/>
    <w:rsid w:val="7BFA7078"/>
    <w:rsid w:val="7C063A51"/>
    <w:rsid w:val="7C0E0E79"/>
    <w:rsid w:val="7C11033A"/>
    <w:rsid w:val="7C3524BA"/>
    <w:rsid w:val="7C4623D9"/>
    <w:rsid w:val="7C46266E"/>
    <w:rsid w:val="7CD54EBF"/>
    <w:rsid w:val="7CE50E07"/>
    <w:rsid w:val="7CEE5C41"/>
    <w:rsid w:val="7CFF47FA"/>
    <w:rsid w:val="7D315432"/>
    <w:rsid w:val="7D56631C"/>
    <w:rsid w:val="7D6058B3"/>
    <w:rsid w:val="7D642099"/>
    <w:rsid w:val="7D730C00"/>
    <w:rsid w:val="7D932D13"/>
    <w:rsid w:val="7D936094"/>
    <w:rsid w:val="7DA0318D"/>
    <w:rsid w:val="7DA87CF3"/>
    <w:rsid w:val="7DC45FAC"/>
    <w:rsid w:val="7DD04403"/>
    <w:rsid w:val="7DD220B8"/>
    <w:rsid w:val="7DDC7899"/>
    <w:rsid w:val="7DF67D98"/>
    <w:rsid w:val="7DFA7B3E"/>
    <w:rsid w:val="7DFD0E62"/>
    <w:rsid w:val="7E082FA0"/>
    <w:rsid w:val="7E38279B"/>
    <w:rsid w:val="7E4B5C47"/>
    <w:rsid w:val="7E753C38"/>
    <w:rsid w:val="7E8700FA"/>
    <w:rsid w:val="7EA65493"/>
    <w:rsid w:val="7EAB45E1"/>
    <w:rsid w:val="7EC2258D"/>
    <w:rsid w:val="7ED85B29"/>
    <w:rsid w:val="7ED92B9D"/>
    <w:rsid w:val="7F21521D"/>
    <w:rsid w:val="7F30714D"/>
    <w:rsid w:val="7F3A7BC2"/>
    <w:rsid w:val="7F3F6D31"/>
    <w:rsid w:val="7FBE3016"/>
    <w:rsid w:val="7FD37F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qFormat="1"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2"/>
      <w:szCs w:val="24"/>
      <w:lang w:val="en-US" w:eastAsia="zh-CN" w:bidi="ar-SA"/>
    </w:rPr>
  </w:style>
  <w:style w:type="paragraph" w:styleId="3">
    <w:name w:val="heading 1"/>
    <w:basedOn w:val="1"/>
    <w:next w:val="1"/>
    <w:link w:val="53"/>
    <w:qFormat/>
    <w:uiPriority w:val="0"/>
    <w:pPr>
      <w:keepNext/>
      <w:jc w:val="left"/>
      <w:outlineLvl w:val="0"/>
    </w:pPr>
    <w:rPr>
      <w:rFonts w:ascii="Calibri" w:hAnsi="Calibri"/>
      <w:b/>
      <w:sz w:val="28"/>
    </w:rPr>
  </w:style>
  <w:style w:type="paragraph" w:styleId="4">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5"/>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7"/>
    <w:link w:val="56"/>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58"/>
    <w:qFormat/>
    <w:uiPriority w:val="0"/>
    <w:pPr>
      <w:keepNext/>
      <w:keepLines/>
      <w:spacing w:before="280" w:after="290" w:line="376" w:lineRule="auto"/>
      <w:outlineLvl w:val="4"/>
    </w:pPr>
    <w:rPr>
      <w:b/>
      <w:bCs/>
      <w:sz w:val="28"/>
      <w:szCs w:val="28"/>
    </w:rPr>
  </w:style>
  <w:style w:type="paragraph" w:styleId="9">
    <w:name w:val="heading 6"/>
    <w:basedOn w:val="1"/>
    <w:next w:val="7"/>
    <w:link w:val="59"/>
    <w:qFormat/>
    <w:uiPriority w:val="0"/>
    <w:pPr>
      <w:keepNext/>
      <w:keepLines/>
      <w:numPr>
        <w:ilvl w:val="5"/>
        <w:numId w:val="1"/>
      </w:numPr>
      <w:spacing w:before="240" w:after="64" w:line="320" w:lineRule="auto"/>
      <w:jc w:val="left"/>
      <w:outlineLvl w:val="5"/>
    </w:pPr>
    <w:rPr>
      <w:rFonts w:ascii="Arial" w:hAnsi="Arial" w:eastAsia="黑体"/>
      <w:b/>
      <w:bCs/>
      <w:spacing w:val="6"/>
      <w:sz w:val="24"/>
    </w:rPr>
  </w:style>
  <w:style w:type="paragraph" w:styleId="10">
    <w:name w:val="heading 7"/>
    <w:basedOn w:val="1"/>
    <w:next w:val="7"/>
    <w:link w:val="60"/>
    <w:qFormat/>
    <w:uiPriority w:val="0"/>
    <w:pPr>
      <w:keepNext/>
      <w:keepLines/>
      <w:numPr>
        <w:ilvl w:val="6"/>
        <w:numId w:val="1"/>
      </w:numPr>
      <w:spacing w:before="240" w:after="64" w:line="320" w:lineRule="auto"/>
      <w:jc w:val="left"/>
      <w:outlineLvl w:val="6"/>
    </w:pPr>
    <w:rPr>
      <w:b/>
      <w:bCs/>
      <w:spacing w:val="6"/>
      <w:sz w:val="24"/>
    </w:rPr>
  </w:style>
  <w:style w:type="paragraph" w:styleId="11">
    <w:name w:val="heading 8"/>
    <w:basedOn w:val="1"/>
    <w:next w:val="7"/>
    <w:link w:val="61"/>
    <w:qFormat/>
    <w:uiPriority w:val="0"/>
    <w:pPr>
      <w:keepNext/>
      <w:keepLines/>
      <w:numPr>
        <w:ilvl w:val="7"/>
        <w:numId w:val="1"/>
      </w:numPr>
      <w:spacing w:before="240" w:after="64" w:line="320" w:lineRule="auto"/>
      <w:jc w:val="left"/>
      <w:outlineLvl w:val="7"/>
    </w:pPr>
    <w:rPr>
      <w:rFonts w:ascii="Arial" w:hAnsi="Arial" w:eastAsia="黑体"/>
      <w:spacing w:val="6"/>
      <w:sz w:val="24"/>
    </w:rPr>
  </w:style>
  <w:style w:type="paragraph" w:styleId="12">
    <w:name w:val="heading 9"/>
    <w:basedOn w:val="1"/>
    <w:next w:val="7"/>
    <w:link w:val="62"/>
    <w:qFormat/>
    <w:uiPriority w:val="0"/>
    <w:pPr>
      <w:keepNext/>
      <w:keepLines/>
      <w:numPr>
        <w:ilvl w:val="8"/>
        <w:numId w:val="1"/>
      </w:numPr>
      <w:spacing w:before="240" w:after="64" w:line="320" w:lineRule="auto"/>
      <w:jc w:val="left"/>
      <w:outlineLvl w:val="8"/>
    </w:pPr>
    <w:rPr>
      <w:rFonts w:ascii="Arial" w:hAnsi="Arial" w:eastAsia="黑体"/>
      <w:spacing w:val="6"/>
      <w:sz w:val="24"/>
    </w:rPr>
  </w:style>
  <w:style w:type="character" w:default="1" w:styleId="44">
    <w:name w:val="Default Paragraph Font"/>
    <w:semiHidden/>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7">
    <w:name w:val="Normal Indent"/>
    <w:basedOn w:val="1"/>
    <w:link w:val="57"/>
    <w:qFormat/>
    <w:uiPriority w:val="0"/>
    <w:pPr>
      <w:ind w:firstLine="420" w:firstLineChars="200"/>
    </w:pPr>
    <w:rPr>
      <w:sz w:val="21"/>
    </w:rPr>
  </w:style>
  <w:style w:type="paragraph" w:styleId="13">
    <w:name w:val="table of authorities"/>
    <w:basedOn w:val="1"/>
    <w:next w:val="1"/>
    <w:qFormat/>
    <w:uiPriority w:val="0"/>
    <w:pPr>
      <w:ind w:left="420" w:leftChars="200"/>
    </w:pPr>
    <w:rPr>
      <w:rFonts w:ascii="Calibri" w:hAnsi="Calibri" w:eastAsia="宋体" w:cs="Times New Roman"/>
      <w:sz w:val="21"/>
    </w:rPr>
  </w:style>
  <w:style w:type="paragraph" w:styleId="14">
    <w:name w:val="Document Map"/>
    <w:basedOn w:val="1"/>
    <w:link w:val="63"/>
    <w:unhideWhenUsed/>
    <w:qFormat/>
    <w:uiPriority w:val="0"/>
    <w:rPr>
      <w:rFonts w:ascii="宋体" w:hAnsi="Calibri"/>
      <w:sz w:val="18"/>
      <w:szCs w:val="18"/>
    </w:rPr>
  </w:style>
  <w:style w:type="paragraph" w:styleId="15">
    <w:name w:val="toa heading"/>
    <w:basedOn w:val="1"/>
    <w:next w:val="1"/>
    <w:qFormat/>
    <w:uiPriority w:val="99"/>
    <w:pPr>
      <w:spacing w:before="120"/>
    </w:pPr>
    <w:rPr>
      <w:rFonts w:ascii="Arial" w:hAnsi="Arial" w:cs="Arial"/>
      <w:sz w:val="24"/>
    </w:rPr>
  </w:style>
  <w:style w:type="paragraph" w:styleId="16">
    <w:name w:val="annotation text"/>
    <w:basedOn w:val="1"/>
    <w:link w:val="64"/>
    <w:unhideWhenUsed/>
    <w:qFormat/>
    <w:uiPriority w:val="0"/>
    <w:pPr>
      <w:jc w:val="left"/>
    </w:pPr>
    <w:rPr>
      <w:rFonts w:ascii="Calibri" w:hAnsi="Calibri"/>
      <w:sz w:val="21"/>
      <w:szCs w:val="22"/>
    </w:rPr>
  </w:style>
  <w:style w:type="paragraph" w:styleId="17">
    <w:name w:val="Body Text 3"/>
    <w:basedOn w:val="1"/>
    <w:link w:val="65"/>
    <w:qFormat/>
    <w:uiPriority w:val="0"/>
    <w:pPr>
      <w:spacing w:line="400" w:lineRule="atLeast"/>
    </w:pPr>
    <w:rPr>
      <w:rFonts w:ascii="楷体_GB2312" w:hAnsi="宋体" w:eastAsia="楷体_GB2312"/>
      <w:i/>
      <w:iCs/>
      <w:kern w:val="0"/>
      <w:sz w:val="24"/>
      <w:szCs w:val="20"/>
    </w:rPr>
  </w:style>
  <w:style w:type="paragraph" w:styleId="18">
    <w:name w:val="Body Text"/>
    <w:basedOn w:val="1"/>
    <w:link w:val="52"/>
    <w:qFormat/>
    <w:uiPriority w:val="0"/>
    <w:rPr>
      <w:rFonts w:ascii="Arial" w:hAnsi="Arial"/>
      <w:bCs/>
      <w:sz w:val="24"/>
    </w:rPr>
  </w:style>
  <w:style w:type="paragraph" w:styleId="19">
    <w:name w:val="Body Text Indent"/>
    <w:basedOn w:val="1"/>
    <w:next w:val="1"/>
    <w:link w:val="66"/>
    <w:qFormat/>
    <w:uiPriority w:val="99"/>
    <w:pPr>
      <w:spacing w:after="120"/>
      <w:ind w:left="420" w:leftChars="200"/>
    </w:pPr>
  </w:style>
  <w:style w:type="paragraph" w:styleId="20">
    <w:name w:val="List 2"/>
    <w:basedOn w:val="1"/>
    <w:qFormat/>
    <w:uiPriority w:val="0"/>
    <w:pPr>
      <w:ind w:left="100" w:leftChars="200" w:hanging="200" w:hangingChars="200"/>
    </w:pPr>
  </w:style>
  <w:style w:type="paragraph" w:styleId="21">
    <w:name w:val="Block Text"/>
    <w:basedOn w:val="1"/>
    <w:qFormat/>
    <w:uiPriority w:val="99"/>
    <w:pPr>
      <w:spacing w:before="156" w:beforeLines="50" w:after="156" w:afterLines="50"/>
      <w:ind w:left="426" w:right="-11" w:hanging="426" w:hangingChars="203"/>
    </w:pPr>
    <w:rPr>
      <w:rFonts w:eastAsia="楷体_GB2312"/>
    </w:rPr>
  </w:style>
  <w:style w:type="paragraph" w:styleId="22">
    <w:name w:val="toc 5"/>
    <w:basedOn w:val="1"/>
    <w:next w:val="1"/>
    <w:qFormat/>
    <w:uiPriority w:val="0"/>
    <w:pPr>
      <w:ind w:left="1680" w:leftChars="800"/>
    </w:pPr>
    <w:rPr>
      <w:rFonts w:ascii="Calibri" w:hAnsi="Calibri" w:eastAsia="宋体" w:cs="Times New Roman"/>
      <w:sz w:val="21"/>
    </w:rPr>
  </w:style>
  <w:style w:type="paragraph" w:styleId="23">
    <w:name w:val="toc 3"/>
    <w:basedOn w:val="1"/>
    <w:next w:val="1"/>
    <w:qFormat/>
    <w:uiPriority w:val="0"/>
    <w:pPr>
      <w:ind w:left="840" w:leftChars="400"/>
    </w:pPr>
    <w:rPr>
      <w:szCs w:val="20"/>
    </w:rPr>
  </w:style>
  <w:style w:type="paragraph" w:styleId="24">
    <w:name w:val="Plain Text"/>
    <w:basedOn w:val="1"/>
    <w:link w:val="67"/>
    <w:qFormat/>
    <w:uiPriority w:val="0"/>
    <w:rPr>
      <w:rFonts w:ascii="宋体" w:hAnsi="Courier New"/>
      <w:sz w:val="21"/>
      <w:szCs w:val="20"/>
    </w:rPr>
  </w:style>
  <w:style w:type="paragraph" w:styleId="25">
    <w:name w:val="Date"/>
    <w:basedOn w:val="1"/>
    <w:next w:val="1"/>
    <w:link w:val="68"/>
    <w:qFormat/>
    <w:uiPriority w:val="99"/>
    <w:pPr>
      <w:ind w:left="100" w:leftChars="2500"/>
    </w:pPr>
    <w:rPr>
      <w:color w:val="000000"/>
      <w:sz w:val="24"/>
    </w:rPr>
  </w:style>
  <w:style w:type="paragraph" w:styleId="26">
    <w:name w:val="Body Text Indent 2"/>
    <w:basedOn w:val="1"/>
    <w:link w:val="69"/>
    <w:qFormat/>
    <w:uiPriority w:val="99"/>
    <w:pPr>
      <w:widowControl/>
      <w:spacing w:line="480" w:lineRule="atLeast"/>
      <w:ind w:firstLine="480"/>
    </w:pPr>
    <w:rPr>
      <w:rFonts w:ascii="宋体"/>
      <w:kern w:val="0"/>
      <w:sz w:val="24"/>
      <w:szCs w:val="20"/>
    </w:rPr>
  </w:style>
  <w:style w:type="paragraph" w:styleId="27">
    <w:name w:val="Balloon Text"/>
    <w:basedOn w:val="1"/>
    <w:link w:val="70"/>
    <w:qFormat/>
    <w:uiPriority w:val="0"/>
    <w:rPr>
      <w:sz w:val="18"/>
      <w:szCs w:val="18"/>
    </w:rPr>
  </w:style>
  <w:style w:type="paragraph" w:styleId="28">
    <w:name w:val="footer"/>
    <w:basedOn w:val="1"/>
    <w:link w:val="71"/>
    <w:qFormat/>
    <w:uiPriority w:val="99"/>
    <w:pPr>
      <w:tabs>
        <w:tab w:val="center" w:pos="4153"/>
        <w:tab w:val="right" w:pos="8306"/>
      </w:tabs>
      <w:snapToGrid w:val="0"/>
      <w:jc w:val="left"/>
    </w:pPr>
    <w:rPr>
      <w:sz w:val="18"/>
      <w:szCs w:val="18"/>
    </w:rPr>
  </w:style>
  <w:style w:type="paragraph" w:styleId="29">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rPr>
      <w:szCs w:val="20"/>
    </w:rPr>
  </w:style>
  <w:style w:type="paragraph" w:styleId="31">
    <w:name w:val="toc 4"/>
    <w:basedOn w:val="1"/>
    <w:next w:val="1"/>
    <w:qFormat/>
    <w:uiPriority w:val="0"/>
    <w:pPr>
      <w:ind w:left="1260" w:leftChars="600"/>
    </w:pPr>
    <w:rPr>
      <w:rFonts w:ascii="Calibri" w:hAnsi="Calibri" w:eastAsia="宋体" w:cs="Times New Roman"/>
      <w:sz w:val="21"/>
    </w:rPr>
  </w:style>
  <w:style w:type="paragraph" w:styleId="32">
    <w:name w:val="List"/>
    <w:basedOn w:val="1"/>
    <w:unhideWhenUsed/>
    <w:qFormat/>
    <w:uiPriority w:val="99"/>
    <w:pPr>
      <w:ind w:left="200" w:hanging="200" w:hangingChars="200"/>
      <w:contextualSpacing/>
    </w:pPr>
  </w:style>
  <w:style w:type="paragraph" w:styleId="33">
    <w:name w:val="Body Text Indent 3"/>
    <w:basedOn w:val="1"/>
    <w:link w:val="73"/>
    <w:qFormat/>
    <w:uiPriority w:val="99"/>
    <w:pPr>
      <w:autoSpaceDE w:val="0"/>
      <w:autoSpaceDN w:val="0"/>
      <w:spacing w:line="400" w:lineRule="atLeast"/>
      <w:ind w:firstLine="443" w:firstLineChars="200"/>
      <w:textAlignment w:val="bottom"/>
    </w:pPr>
    <w:rPr>
      <w:rFonts w:eastAsia="黑体"/>
      <w:color w:val="000000"/>
      <w:sz w:val="24"/>
    </w:rPr>
  </w:style>
  <w:style w:type="paragraph" w:styleId="34">
    <w:name w:val="toc 2"/>
    <w:basedOn w:val="1"/>
    <w:next w:val="1"/>
    <w:qFormat/>
    <w:uiPriority w:val="39"/>
    <w:pPr>
      <w:ind w:left="420" w:leftChars="200"/>
    </w:pPr>
    <w:rPr>
      <w:szCs w:val="20"/>
    </w:rPr>
  </w:style>
  <w:style w:type="paragraph" w:styleId="35">
    <w:name w:val="Body Text 2"/>
    <w:basedOn w:val="1"/>
    <w:link w:val="74"/>
    <w:qFormat/>
    <w:uiPriority w:val="0"/>
    <w:pPr>
      <w:framePr w:hSpace="180" w:wrap="notBeside" w:vAnchor="text" w:hAnchor="page" w:x="1917" w:y="230"/>
    </w:pPr>
    <w:rPr>
      <w:rFonts w:ascii="宋体"/>
      <w:kern w:val="0"/>
      <w:sz w:val="24"/>
      <w:szCs w:val="20"/>
    </w:rPr>
  </w:style>
  <w:style w:type="paragraph" w:styleId="36">
    <w:name w:val="Normal (Web)"/>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styleId="37">
    <w:name w:val="index 1"/>
    <w:basedOn w:val="1"/>
    <w:next w:val="1"/>
    <w:qFormat/>
    <w:uiPriority w:val="0"/>
    <w:rPr>
      <w:rFonts w:ascii="宋体"/>
      <w:spacing w:val="-6"/>
      <w:kern w:val="24"/>
      <w:sz w:val="28"/>
    </w:rPr>
  </w:style>
  <w:style w:type="paragraph" w:styleId="38">
    <w:name w:val="Title"/>
    <w:basedOn w:val="1"/>
    <w:next w:val="1"/>
    <w:link w:val="75"/>
    <w:qFormat/>
    <w:uiPriority w:val="10"/>
    <w:pPr>
      <w:spacing w:before="240" w:after="60" w:line="460" w:lineRule="exact"/>
      <w:jc w:val="center"/>
      <w:outlineLvl w:val="0"/>
    </w:pPr>
    <w:rPr>
      <w:rFonts w:ascii="Arial" w:hAnsi="Arial"/>
      <w:b/>
      <w:spacing w:val="14"/>
      <w:kern w:val="24"/>
      <w:sz w:val="32"/>
      <w:szCs w:val="20"/>
    </w:rPr>
  </w:style>
  <w:style w:type="paragraph" w:styleId="39">
    <w:name w:val="annotation subject"/>
    <w:basedOn w:val="16"/>
    <w:next w:val="16"/>
    <w:link w:val="76"/>
    <w:unhideWhenUsed/>
    <w:qFormat/>
    <w:uiPriority w:val="0"/>
    <w:rPr>
      <w:b/>
      <w:bCs/>
    </w:rPr>
  </w:style>
  <w:style w:type="paragraph" w:styleId="40">
    <w:name w:val="Body Text First Indent"/>
    <w:basedOn w:val="18"/>
    <w:link w:val="77"/>
    <w:unhideWhenUsed/>
    <w:qFormat/>
    <w:uiPriority w:val="0"/>
    <w:pPr>
      <w:spacing w:after="120"/>
      <w:ind w:firstLine="420" w:firstLineChars="100"/>
    </w:pPr>
    <w:rPr>
      <w:rFonts w:ascii="Calibri" w:hAnsi="Calibri"/>
      <w:sz w:val="21"/>
      <w:szCs w:val="22"/>
    </w:rPr>
  </w:style>
  <w:style w:type="paragraph" w:styleId="41">
    <w:name w:val="Body Text First Indent 2"/>
    <w:basedOn w:val="19"/>
    <w:qFormat/>
    <w:uiPriority w:val="0"/>
    <w:pPr>
      <w:spacing w:after="120" w:line="240" w:lineRule="auto"/>
      <w:ind w:left="420" w:firstLine="210"/>
    </w:pPr>
    <w:rPr>
      <w:rFonts w:eastAsia="宋体"/>
      <w:sz w:val="21"/>
      <w:szCs w:val="24"/>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basedOn w:val="44"/>
    <w:qFormat/>
    <w:uiPriority w:val="99"/>
  </w:style>
  <w:style w:type="character" w:styleId="47">
    <w:name w:val="FollowedHyperlink"/>
    <w:qFormat/>
    <w:uiPriority w:val="0"/>
    <w:rPr>
      <w:color w:val="800080"/>
      <w:u w:val="single"/>
    </w:rPr>
  </w:style>
  <w:style w:type="character" w:styleId="48">
    <w:name w:val="Emphasis"/>
    <w:qFormat/>
    <w:uiPriority w:val="0"/>
    <w:rPr>
      <w:i/>
    </w:rPr>
  </w:style>
  <w:style w:type="character" w:styleId="49">
    <w:name w:val="Hyperlink"/>
    <w:qFormat/>
    <w:uiPriority w:val="99"/>
    <w:rPr>
      <w:color w:val="0000FF"/>
      <w:u w:val="single"/>
    </w:rPr>
  </w:style>
  <w:style w:type="character" w:styleId="50">
    <w:name w:val="annotation reference"/>
    <w:unhideWhenUsed/>
    <w:qFormat/>
    <w:uiPriority w:val="99"/>
    <w:rPr>
      <w:sz w:val="21"/>
      <w:szCs w:val="21"/>
    </w:rPr>
  </w:style>
  <w:style w:type="character" w:styleId="51">
    <w:name w:val="HTML Cite"/>
    <w:qFormat/>
    <w:uiPriority w:val="0"/>
    <w:rPr>
      <w:color w:val="008000"/>
    </w:rPr>
  </w:style>
  <w:style w:type="character" w:customStyle="1" w:styleId="52">
    <w:name w:val="正文文本 Char"/>
    <w:link w:val="18"/>
    <w:qFormat/>
    <w:uiPriority w:val="0"/>
    <w:rPr>
      <w:rFonts w:ascii="Arial" w:hAnsi="Arial" w:eastAsia="宋体"/>
      <w:bCs/>
      <w:kern w:val="2"/>
      <w:sz w:val="24"/>
      <w:szCs w:val="24"/>
      <w:lang w:val="en-US" w:eastAsia="zh-CN" w:bidi="ar-SA"/>
    </w:rPr>
  </w:style>
  <w:style w:type="character" w:customStyle="1" w:styleId="53">
    <w:name w:val="标题 1 Char"/>
    <w:link w:val="3"/>
    <w:qFormat/>
    <w:uiPriority w:val="0"/>
    <w:rPr>
      <w:rFonts w:ascii="Calibri" w:hAnsi="Calibri" w:eastAsia="宋体"/>
      <w:b/>
      <w:kern w:val="2"/>
      <w:sz w:val="28"/>
      <w:szCs w:val="24"/>
      <w:lang w:val="en-US" w:eastAsia="zh-CN" w:bidi="ar-SA"/>
    </w:rPr>
  </w:style>
  <w:style w:type="character" w:customStyle="1" w:styleId="54">
    <w:name w:val="标题 2 Char"/>
    <w:link w:val="4"/>
    <w:qFormat/>
    <w:uiPriority w:val="0"/>
    <w:rPr>
      <w:rFonts w:ascii="Arial" w:hAnsi="Arial" w:eastAsia="黑体"/>
      <w:b/>
      <w:bCs/>
      <w:kern w:val="2"/>
      <w:sz w:val="32"/>
      <w:szCs w:val="32"/>
      <w:lang w:val="en-US" w:eastAsia="zh-CN" w:bidi="ar-SA"/>
    </w:rPr>
  </w:style>
  <w:style w:type="character" w:customStyle="1" w:styleId="55">
    <w:name w:val="标题 3 Char"/>
    <w:link w:val="5"/>
    <w:qFormat/>
    <w:uiPriority w:val="0"/>
    <w:rPr>
      <w:rFonts w:ascii="Calibri" w:hAnsi="Calibri" w:eastAsia="宋体"/>
      <w:b/>
      <w:bCs/>
      <w:kern w:val="2"/>
      <w:sz w:val="32"/>
      <w:szCs w:val="32"/>
      <w:lang w:val="en-US" w:eastAsia="zh-CN" w:bidi="ar-SA"/>
    </w:rPr>
  </w:style>
  <w:style w:type="character" w:customStyle="1" w:styleId="56">
    <w:name w:val="标题 4 Char"/>
    <w:link w:val="6"/>
    <w:qFormat/>
    <w:uiPriority w:val="0"/>
    <w:rPr>
      <w:rFonts w:ascii="Cambria" w:hAnsi="Cambria" w:eastAsia="宋体"/>
      <w:b/>
      <w:bCs/>
      <w:kern w:val="2"/>
      <w:sz w:val="28"/>
      <w:szCs w:val="28"/>
      <w:lang w:val="en-US" w:eastAsia="zh-CN" w:bidi="ar-SA"/>
    </w:rPr>
  </w:style>
  <w:style w:type="character" w:customStyle="1" w:styleId="57">
    <w:name w:val="正文缩进 Char"/>
    <w:link w:val="7"/>
    <w:qFormat/>
    <w:uiPriority w:val="0"/>
    <w:rPr>
      <w:rFonts w:eastAsia="宋体"/>
      <w:kern w:val="2"/>
      <w:sz w:val="21"/>
      <w:szCs w:val="24"/>
      <w:lang w:val="en-US" w:eastAsia="zh-CN" w:bidi="ar-SA"/>
    </w:rPr>
  </w:style>
  <w:style w:type="character" w:customStyle="1" w:styleId="58">
    <w:name w:val="标题 5 Char"/>
    <w:link w:val="8"/>
    <w:qFormat/>
    <w:uiPriority w:val="0"/>
    <w:rPr>
      <w:b/>
      <w:bCs/>
      <w:kern w:val="2"/>
      <w:sz w:val="28"/>
      <w:szCs w:val="28"/>
    </w:rPr>
  </w:style>
  <w:style w:type="character" w:customStyle="1" w:styleId="59">
    <w:name w:val="标题 6 Char"/>
    <w:link w:val="9"/>
    <w:qFormat/>
    <w:uiPriority w:val="0"/>
    <w:rPr>
      <w:rFonts w:ascii="Arial" w:hAnsi="Arial" w:eastAsia="黑体"/>
      <w:b/>
      <w:bCs/>
      <w:spacing w:val="6"/>
      <w:kern w:val="2"/>
      <w:sz w:val="24"/>
      <w:szCs w:val="24"/>
    </w:rPr>
  </w:style>
  <w:style w:type="character" w:customStyle="1" w:styleId="60">
    <w:name w:val="标题 7 Char"/>
    <w:link w:val="10"/>
    <w:qFormat/>
    <w:uiPriority w:val="0"/>
    <w:rPr>
      <w:b/>
      <w:bCs/>
      <w:spacing w:val="6"/>
      <w:kern w:val="2"/>
      <w:sz w:val="24"/>
      <w:szCs w:val="24"/>
    </w:rPr>
  </w:style>
  <w:style w:type="character" w:customStyle="1" w:styleId="61">
    <w:name w:val="标题 8 Char"/>
    <w:link w:val="11"/>
    <w:qFormat/>
    <w:uiPriority w:val="0"/>
    <w:rPr>
      <w:rFonts w:ascii="Arial" w:hAnsi="Arial" w:eastAsia="黑体"/>
      <w:spacing w:val="6"/>
      <w:kern w:val="2"/>
      <w:sz w:val="24"/>
      <w:szCs w:val="24"/>
    </w:rPr>
  </w:style>
  <w:style w:type="character" w:customStyle="1" w:styleId="62">
    <w:name w:val="标题 9 Char"/>
    <w:link w:val="12"/>
    <w:qFormat/>
    <w:uiPriority w:val="0"/>
    <w:rPr>
      <w:rFonts w:ascii="Arial" w:hAnsi="Arial" w:eastAsia="黑体"/>
      <w:spacing w:val="6"/>
      <w:kern w:val="2"/>
      <w:sz w:val="24"/>
      <w:szCs w:val="24"/>
    </w:rPr>
  </w:style>
  <w:style w:type="character" w:customStyle="1" w:styleId="63">
    <w:name w:val="文档结构图 Char"/>
    <w:link w:val="14"/>
    <w:qFormat/>
    <w:uiPriority w:val="0"/>
    <w:rPr>
      <w:rFonts w:ascii="宋体" w:hAnsi="Calibri" w:eastAsia="宋体"/>
      <w:kern w:val="2"/>
      <w:sz w:val="18"/>
      <w:szCs w:val="18"/>
      <w:lang w:val="en-US" w:eastAsia="zh-CN" w:bidi="ar-SA"/>
    </w:rPr>
  </w:style>
  <w:style w:type="character" w:customStyle="1" w:styleId="64">
    <w:name w:val="批注文字 Char"/>
    <w:link w:val="16"/>
    <w:qFormat/>
    <w:uiPriority w:val="0"/>
    <w:rPr>
      <w:rFonts w:ascii="Calibri" w:hAnsi="Calibri" w:eastAsia="宋体"/>
      <w:kern w:val="2"/>
      <w:sz w:val="21"/>
      <w:szCs w:val="22"/>
      <w:lang w:val="en-US" w:eastAsia="zh-CN" w:bidi="ar-SA"/>
    </w:rPr>
  </w:style>
  <w:style w:type="character" w:customStyle="1" w:styleId="65">
    <w:name w:val="正文文本 3 Char"/>
    <w:link w:val="17"/>
    <w:qFormat/>
    <w:uiPriority w:val="0"/>
    <w:rPr>
      <w:rFonts w:ascii="楷体_GB2312" w:hAnsi="宋体" w:eastAsia="楷体_GB2312"/>
      <w:i/>
      <w:iCs/>
      <w:sz w:val="24"/>
    </w:rPr>
  </w:style>
  <w:style w:type="character" w:customStyle="1" w:styleId="66">
    <w:name w:val="正文文本缩进 Char"/>
    <w:link w:val="19"/>
    <w:qFormat/>
    <w:uiPriority w:val="99"/>
    <w:rPr>
      <w:kern w:val="2"/>
      <w:sz w:val="22"/>
      <w:szCs w:val="24"/>
    </w:rPr>
  </w:style>
  <w:style w:type="character" w:customStyle="1" w:styleId="67">
    <w:name w:val="纯文本 Char"/>
    <w:link w:val="24"/>
    <w:qFormat/>
    <w:uiPriority w:val="0"/>
    <w:rPr>
      <w:rFonts w:ascii="宋体" w:hAnsi="Courier New" w:eastAsia="宋体"/>
      <w:kern w:val="2"/>
      <w:sz w:val="21"/>
      <w:lang w:val="en-US" w:eastAsia="zh-CN" w:bidi="ar-SA"/>
    </w:rPr>
  </w:style>
  <w:style w:type="character" w:customStyle="1" w:styleId="68">
    <w:name w:val="日期 Char"/>
    <w:link w:val="25"/>
    <w:qFormat/>
    <w:uiPriority w:val="99"/>
    <w:rPr>
      <w:color w:val="000000"/>
      <w:kern w:val="2"/>
      <w:sz w:val="24"/>
      <w:szCs w:val="24"/>
    </w:rPr>
  </w:style>
  <w:style w:type="character" w:customStyle="1" w:styleId="69">
    <w:name w:val="正文文本缩进 2 Char"/>
    <w:link w:val="26"/>
    <w:qFormat/>
    <w:uiPriority w:val="99"/>
    <w:rPr>
      <w:rFonts w:ascii="宋体" w:eastAsia="宋体"/>
      <w:sz w:val="24"/>
      <w:lang w:val="en-US" w:eastAsia="zh-CN" w:bidi="ar-SA"/>
    </w:rPr>
  </w:style>
  <w:style w:type="character" w:customStyle="1" w:styleId="70">
    <w:name w:val="批注框文本 Char"/>
    <w:link w:val="27"/>
    <w:qFormat/>
    <w:locked/>
    <w:uiPriority w:val="0"/>
    <w:rPr>
      <w:kern w:val="2"/>
      <w:sz w:val="18"/>
      <w:szCs w:val="18"/>
    </w:rPr>
  </w:style>
  <w:style w:type="character" w:customStyle="1" w:styleId="71">
    <w:name w:val="页脚 Char"/>
    <w:link w:val="28"/>
    <w:qFormat/>
    <w:uiPriority w:val="99"/>
    <w:rPr>
      <w:rFonts w:eastAsia="宋体"/>
      <w:kern w:val="2"/>
      <w:sz w:val="18"/>
      <w:szCs w:val="18"/>
      <w:lang w:val="en-US" w:eastAsia="zh-CN" w:bidi="ar-SA"/>
    </w:rPr>
  </w:style>
  <w:style w:type="character" w:customStyle="1" w:styleId="72">
    <w:name w:val="页眉 Char"/>
    <w:link w:val="29"/>
    <w:qFormat/>
    <w:uiPriority w:val="99"/>
    <w:rPr>
      <w:rFonts w:eastAsia="宋体"/>
      <w:kern w:val="2"/>
      <w:sz w:val="18"/>
      <w:szCs w:val="18"/>
      <w:lang w:val="en-US" w:eastAsia="zh-CN" w:bidi="ar-SA"/>
    </w:rPr>
  </w:style>
  <w:style w:type="character" w:customStyle="1" w:styleId="73">
    <w:name w:val="正文文本缩进 3 Char"/>
    <w:link w:val="33"/>
    <w:qFormat/>
    <w:uiPriority w:val="99"/>
    <w:rPr>
      <w:rFonts w:eastAsia="黑体"/>
      <w:color w:val="000000"/>
      <w:kern w:val="2"/>
      <w:sz w:val="24"/>
      <w:szCs w:val="24"/>
      <w:lang w:val="en-US" w:eastAsia="zh-CN" w:bidi="ar-SA"/>
    </w:rPr>
  </w:style>
  <w:style w:type="character" w:customStyle="1" w:styleId="74">
    <w:name w:val="正文文本 2 Char"/>
    <w:link w:val="35"/>
    <w:qFormat/>
    <w:uiPriority w:val="0"/>
    <w:rPr>
      <w:rFonts w:ascii="宋体"/>
      <w:sz w:val="24"/>
    </w:rPr>
  </w:style>
  <w:style w:type="character" w:customStyle="1" w:styleId="75">
    <w:name w:val="标题 Char"/>
    <w:link w:val="38"/>
    <w:qFormat/>
    <w:uiPriority w:val="10"/>
    <w:rPr>
      <w:rFonts w:ascii="Arial" w:hAnsi="Arial"/>
      <w:b/>
      <w:spacing w:val="14"/>
      <w:kern w:val="24"/>
      <w:sz w:val="32"/>
    </w:rPr>
  </w:style>
  <w:style w:type="character" w:customStyle="1" w:styleId="76">
    <w:name w:val="批注主题 Char"/>
    <w:link w:val="39"/>
    <w:qFormat/>
    <w:uiPriority w:val="0"/>
    <w:rPr>
      <w:rFonts w:ascii="Calibri" w:hAnsi="Calibri" w:eastAsia="宋体"/>
      <w:b/>
      <w:bCs/>
      <w:kern w:val="2"/>
      <w:sz w:val="21"/>
      <w:szCs w:val="22"/>
      <w:lang w:val="en-US" w:eastAsia="zh-CN" w:bidi="ar-SA"/>
    </w:rPr>
  </w:style>
  <w:style w:type="character" w:customStyle="1" w:styleId="77">
    <w:name w:val="正文首行缩进 Char"/>
    <w:link w:val="40"/>
    <w:qFormat/>
    <w:uiPriority w:val="0"/>
    <w:rPr>
      <w:rFonts w:ascii="Calibri" w:hAnsi="Calibri" w:eastAsia="宋体"/>
      <w:bCs/>
      <w:kern w:val="2"/>
      <w:sz w:val="21"/>
      <w:szCs w:val="22"/>
      <w:lang w:val="en-US" w:eastAsia="zh-CN" w:bidi="ar-SA"/>
    </w:rPr>
  </w:style>
  <w:style w:type="character" w:customStyle="1" w:styleId="78">
    <w:name w:val="font31"/>
    <w:qFormat/>
    <w:uiPriority w:val="0"/>
    <w:rPr>
      <w:rFonts w:hint="eastAsia" w:ascii="宋体" w:hAnsi="宋体" w:eastAsia="宋体" w:cs="宋体"/>
      <w:b/>
      <w:color w:val="000000"/>
      <w:sz w:val="22"/>
      <w:szCs w:val="22"/>
      <w:u w:val="single"/>
    </w:rPr>
  </w:style>
  <w:style w:type="character" w:customStyle="1" w:styleId="79">
    <w:name w:val="正文文本 Char1"/>
    <w:qFormat/>
    <w:uiPriority w:val="0"/>
    <w:rPr>
      <w:kern w:val="2"/>
      <w:sz w:val="21"/>
      <w:szCs w:val="24"/>
    </w:rPr>
  </w:style>
  <w:style w:type="character" w:customStyle="1" w:styleId="80">
    <w:name w:val="正文文本缩进 3 Char1"/>
    <w:qFormat/>
    <w:uiPriority w:val="0"/>
    <w:rPr>
      <w:kern w:val="2"/>
      <w:sz w:val="16"/>
      <w:szCs w:val="16"/>
    </w:rPr>
  </w:style>
  <w:style w:type="character" w:customStyle="1" w:styleId="81">
    <w:name w:val="wj1"/>
    <w:qFormat/>
    <w:uiPriority w:val="0"/>
    <w:rPr>
      <w:color w:val="000000"/>
      <w:sz w:val="18"/>
      <w:szCs w:val="18"/>
      <w:u w:val="none"/>
    </w:rPr>
  </w:style>
  <w:style w:type="character" w:customStyle="1" w:styleId="82">
    <w:name w:val="zw1 Char"/>
    <w:link w:val="83"/>
    <w:qFormat/>
    <w:locked/>
    <w:uiPriority w:val="0"/>
    <w:rPr>
      <w:rFonts w:eastAsia="宋体"/>
      <w:kern w:val="2"/>
      <w:sz w:val="28"/>
      <w:lang w:val="en-US" w:eastAsia="zh-CN" w:bidi="ar-SA"/>
    </w:rPr>
  </w:style>
  <w:style w:type="paragraph" w:customStyle="1" w:styleId="83">
    <w:name w:val="zw1"/>
    <w:basedOn w:val="1"/>
    <w:link w:val="82"/>
    <w:qFormat/>
    <w:uiPriority w:val="0"/>
    <w:pPr>
      <w:spacing w:line="360" w:lineRule="auto"/>
      <w:ind w:firstLine="560" w:firstLineChars="200"/>
    </w:pPr>
    <w:rPr>
      <w:sz w:val="28"/>
      <w:szCs w:val="20"/>
    </w:rPr>
  </w:style>
  <w:style w:type="character" w:customStyle="1" w:styleId="84">
    <w:name w:val="日期 Char1"/>
    <w:qFormat/>
    <w:uiPriority w:val="0"/>
    <w:rPr>
      <w:kern w:val="2"/>
      <w:sz w:val="21"/>
      <w:szCs w:val="24"/>
    </w:rPr>
  </w:style>
  <w:style w:type="character" w:customStyle="1" w:styleId="85">
    <w:name w:val="纯文本 Char1"/>
    <w:qFormat/>
    <w:uiPriority w:val="0"/>
    <w:rPr>
      <w:rFonts w:ascii="宋体" w:hAnsi="Courier New" w:eastAsia="宋体" w:cs="Courier New"/>
      <w:kern w:val="2"/>
      <w:sz w:val="21"/>
      <w:szCs w:val="21"/>
    </w:rPr>
  </w:style>
  <w:style w:type="character" w:customStyle="1" w:styleId="86">
    <w:name w:val="font51"/>
    <w:qFormat/>
    <w:uiPriority w:val="0"/>
    <w:rPr>
      <w:rFonts w:ascii="font-weight : 700" w:hAnsi="font-weight : 700" w:eastAsia="font-weight : 700" w:cs="font-weight : 700"/>
      <w:color w:val="000000"/>
      <w:sz w:val="22"/>
      <w:szCs w:val="22"/>
      <w:u w:val="single"/>
    </w:rPr>
  </w:style>
  <w:style w:type="character" w:customStyle="1" w:styleId="87">
    <w:name w:val="h Char"/>
    <w:qFormat/>
    <w:uiPriority w:val="0"/>
    <w:rPr>
      <w:rFonts w:eastAsia="楷体_GB2312"/>
      <w:sz w:val="21"/>
      <w:lang w:val="en-US" w:eastAsia="zh-CN" w:bidi="ar-SA"/>
    </w:rPr>
  </w:style>
  <w:style w:type="character" w:customStyle="1" w:styleId="88">
    <w:name w:val="批注框文本 Char1"/>
    <w:qFormat/>
    <w:uiPriority w:val="0"/>
    <w:rPr>
      <w:kern w:val="2"/>
      <w:sz w:val="18"/>
      <w:szCs w:val="18"/>
    </w:rPr>
  </w:style>
  <w:style w:type="character" w:customStyle="1" w:styleId="89">
    <w:name w:val="批注文字 Char1"/>
    <w:qFormat/>
    <w:uiPriority w:val="0"/>
    <w:rPr>
      <w:kern w:val="2"/>
      <w:sz w:val="21"/>
      <w:szCs w:val="24"/>
    </w:rPr>
  </w:style>
  <w:style w:type="character" w:customStyle="1" w:styleId="90">
    <w:name w:val="段 Char"/>
    <w:link w:val="91"/>
    <w:qFormat/>
    <w:uiPriority w:val="0"/>
    <w:rPr>
      <w:rFonts w:ascii="Arial" w:hAnsi="Arial"/>
      <w:kern w:val="2"/>
      <w:sz w:val="21"/>
      <w:lang w:val="en-US" w:eastAsia="zh-CN" w:bidi="ar-SA"/>
    </w:rPr>
  </w:style>
  <w:style w:type="paragraph" w:customStyle="1" w:styleId="91">
    <w:name w:val="段"/>
    <w:link w:val="90"/>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character" w:customStyle="1" w:styleId="92">
    <w:name w:val="Char Char1"/>
    <w:qFormat/>
    <w:uiPriority w:val="0"/>
    <w:rPr>
      <w:rFonts w:ascii="宋体" w:hAnsi="Courier New" w:eastAsia="宋体"/>
      <w:kern w:val="2"/>
      <w:sz w:val="21"/>
      <w:lang w:val="en-US" w:eastAsia="zh-CN" w:bidi="ar-SA"/>
    </w:rPr>
  </w:style>
  <w:style w:type="character" w:customStyle="1" w:styleId="93">
    <w:name w:val="l2 Char"/>
    <w:qFormat/>
    <w:uiPriority w:val="0"/>
    <w:rPr>
      <w:rFonts w:ascii="Arial" w:hAnsi="Arial" w:eastAsia="楷体_GB2312" w:cs="Arial"/>
      <w:b/>
      <w:sz w:val="24"/>
      <w:lang w:val="en-US" w:eastAsia="zh-CN" w:bidi="ar-SA"/>
    </w:rPr>
  </w:style>
  <w:style w:type="character" w:customStyle="1" w:styleId="94">
    <w:name w:val="font61"/>
    <w:qFormat/>
    <w:uiPriority w:val="0"/>
    <w:rPr>
      <w:rFonts w:hint="eastAsia" w:ascii="宋体" w:hAnsi="宋体" w:eastAsia="宋体" w:cs="宋体"/>
      <w:b/>
      <w:iCs/>
      <w:color w:val="000000"/>
      <w:kern w:val="0"/>
      <w:sz w:val="24"/>
      <w:szCs w:val="24"/>
      <w:u w:val="none"/>
      <w:lang w:eastAsia="en-US"/>
    </w:rPr>
  </w:style>
  <w:style w:type="character" w:customStyle="1" w:styleId="95">
    <w:name w:val="金保标题2 Char"/>
    <w:link w:val="96"/>
    <w:qFormat/>
    <w:uiPriority w:val="0"/>
    <w:rPr>
      <w:rFonts w:eastAsia="黑体"/>
      <w:b/>
      <w:bCs/>
      <w:kern w:val="2"/>
      <w:sz w:val="28"/>
      <w:szCs w:val="28"/>
      <w:lang w:val="en-US" w:eastAsia="zh-CN" w:bidi="ar-SA"/>
    </w:rPr>
  </w:style>
  <w:style w:type="paragraph" w:customStyle="1" w:styleId="96">
    <w:name w:val="金保标题2"/>
    <w:basedOn w:val="4"/>
    <w:next w:val="1"/>
    <w:link w:val="95"/>
    <w:qFormat/>
    <w:uiPriority w:val="0"/>
    <w:pPr>
      <w:tabs>
        <w:tab w:val="left" w:pos="576"/>
      </w:tabs>
      <w:spacing w:line="360" w:lineRule="auto"/>
      <w:ind w:left="576" w:hanging="576"/>
    </w:pPr>
    <w:rPr>
      <w:rFonts w:ascii="Times New Roman" w:hAnsi="Times New Roman"/>
      <w:sz w:val="28"/>
      <w:szCs w:val="28"/>
    </w:rPr>
  </w:style>
  <w:style w:type="character" w:customStyle="1" w:styleId="97">
    <w:name w:val="htd0"/>
    <w:basedOn w:val="44"/>
    <w:qFormat/>
    <w:uiPriority w:val="0"/>
  </w:style>
  <w:style w:type="character" w:customStyle="1" w:styleId="98">
    <w:name w:val="heading 4 + Indent: Left 0.5 in Char Char"/>
    <w:qFormat/>
    <w:uiPriority w:val="0"/>
    <w:rPr>
      <w:rFonts w:ascii="Arial" w:hAnsi="Arial" w:eastAsia="黑体"/>
      <w:b/>
      <w:bCs/>
      <w:kern w:val="2"/>
      <w:sz w:val="28"/>
      <w:szCs w:val="28"/>
      <w:lang w:val="en-US" w:eastAsia="zh-CN" w:bidi="ar-SA"/>
    </w:rPr>
  </w:style>
  <w:style w:type="character" w:customStyle="1" w:styleId="99">
    <w:name w:val="sub_title s0"/>
    <w:basedOn w:val="44"/>
    <w:qFormat/>
    <w:uiPriority w:val="0"/>
  </w:style>
  <w:style w:type="character" w:customStyle="1" w:styleId="100">
    <w:name w:val="font01"/>
    <w:qFormat/>
    <w:uiPriority w:val="0"/>
    <w:rPr>
      <w:rFonts w:hint="eastAsia" w:ascii="宋体" w:hAnsi="宋体" w:eastAsia="宋体" w:cs="宋体"/>
      <w:color w:val="000000"/>
      <w:sz w:val="22"/>
      <w:szCs w:val="22"/>
      <w:u w:val="none"/>
    </w:rPr>
  </w:style>
  <w:style w:type="character" w:customStyle="1" w:styleId="101">
    <w:name w:val="普通文字 Char Char3"/>
    <w:qFormat/>
    <w:uiPriority w:val="0"/>
    <w:rPr>
      <w:rFonts w:ascii="宋体" w:hAnsi="Courier New" w:eastAsia="宋体"/>
      <w:kern w:val="2"/>
      <w:sz w:val="21"/>
      <w:lang w:val="en-US" w:eastAsia="zh-CN" w:bidi="ar-SA"/>
    </w:rPr>
  </w:style>
  <w:style w:type="character" w:customStyle="1" w:styleId="102">
    <w:name w:val="普通文字 Char Char"/>
    <w:qFormat/>
    <w:uiPriority w:val="0"/>
    <w:rPr>
      <w:rFonts w:ascii="宋体" w:hAnsi="Courier New" w:eastAsia="宋体"/>
      <w:kern w:val="2"/>
      <w:sz w:val="21"/>
      <w:lang w:val="en-US" w:eastAsia="zh-CN" w:bidi="ar-SA"/>
    </w:rPr>
  </w:style>
  <w:style w:type="character" w:customStyle="1" w:styleId="103">
    <w:name w:val="12blk1"/>
    <w:qFormat/>
    <w:uiPriority w:val="0"/>
    <w:rPr>
      <w:rFonts w:hint="default" w:ascii="_x000B__x000C_" w:hAnsi="_x000B__x000C_"/>
      <w:color w:val="000000"/>
      <w:sz w:val="24"/>
      <w:szCs w:val="24"/>
      <w:u w:val="none"/>
    </w:rPr>
  </w:style>
  <w:style w:type="character" w:customStyle="1" w:styleId="104">
    <w:name w:val="Table Text Char1"/>
    <w:link w:val="105"/>
    <w:qFormat/>
    <w:uiPriority w:val="0"/>
    <w:rPr>
      <w:rFonts w:ascii="Arial" w:hAnsi="Arial" w:cs="Arial"/>
      <w:kern w:val="2"/>
      <w:sz w:val="18"/>
      <w:szCs w:val="18"/>
      <w:lang w:val="en-US" w:eastAsia="zh-CN" w:bidi="ar-SA"/>
    </w:rPr>
  </w:style>
  <w:style w:type="paragraph" w:customStyle="1" w:styleId="105">
    <w:name w:val="Table Text"/>
    <w:link w:val="104"/>
    <w:qFormat/>
    <w:uiPriority w:val="0"/>
    <w:pPr>
      <w:snapToGrid w:val="0"/>
      <w:spacing w:before="80" w:after="80"/>
    </w:pPr>
    <w:rPr>
      <w:rFonts w:ascii="Arial" w:hAnsi="Arial" w:eastAsia="宋体" w:cs="Arial"/>
      <w:kern w:val="2"/>
      <w:sz w:val="18"/>
      <w:szCs w:val="18"/>
      <w:lang w:val="en-US" w:eastAsia="zh-CN" w:bidi="ar-SA"/>
    </w:rPr>
  </w:style>
  <w:style w:type="character" w:customStyle="1" w:styleId="106">
    <w:name w:val="font21"/>
    <w:qFormat/>
    <w:uiPriority w:val="0"/>
    <w:rPr>
      <w:rFonts w:ascii="Calibri" w:hAnsi="Calibri" w:cs="Calibri"/>
      <w:color w:val="000000"/>
      <w:sz w:val="22"/>
      <w:szCs w:val="22"/>
      <w:u w:val="none"/>
    </w:rPr>
  </w:style>
  <w:style w:type="character" w:customStyle="1" w:styleId="107">
    <w:name w:val="unnamed51"/>
    <w:qFormat/>
    <w:uiPriority w:val="0"/>
    <w:rPr>
      <w:sz w:val="22"/>
      <w:szCs w:val="22"/>
    </w:rPr>
  </w:style>
  <w:style w:type="character" w:customStyle="1" w:styleId="108">
    <w:name w:val="正文文本缩进 Char1"/>
    <w:qFormat/>
    <w:uiPriority w:val="0"/>
    <w:rPr>
      <w:kern w:val="2"/>
      <w:sz w:val="21"/>
      <w:szCs w:val="24"/>
    </w:rPr>
  </w:style>
  <w:style w:type="character" w:customStyle="1" w:styleId="109">
    <w:name w:val=" Char Char1"/>
    <w:qFormat/>
    <w:uiPriority w:val="0"/>
    <w:rPr>
      <w:rFonts w:ascii="宋体" w:hAnsi="Courier New" w:eastAsia="宋体"/>
      <w:kern w:val="2"/>
      <w:sz w:val="21"/>
      <w:lang w:val="en-US" w:eastAsia="zh-CN" w:bidi="ar-SA"/>
    </w:rPr>
  </w:style>
  <w:style w:type="character" w:customStyle="1" w:styleId="110">
    <w:name w:val="标题 Char1"/>
    <w:qFormat/>
    <w:uiPriority w:val="0"/>
    <w:rPr>
      <w:rFonts w:ascii="Cambria" w:hAnsi="Cambria" w:eastAsia="宋体" w:cs="Times New Roman"/>
      <w:b/>
      <w:bCs/>
      <w:kern w:val="2"/>
      <w:sz w:val="32"/>
      <w:szCs w:val="32"/>
    </w:rPr>
  </w:style>
  <w:style w:type="character" w:customStyle="1" w:styleId="111">
    <w:name w:val="正文文本缩进 2 Char1"/>
    <w:qFormat/>
    <w:uiPriority w:val="0"/>
    <w:rPr>
      <w:kern w:val="2"/>
      <w:sz w:val="21"/>
      <w:szCs w:val="24"/>
    </w:rPr>
  </w:style>
  <w:style w:type="paragraph" w:customStyle="1" w:styleId="112">
    <w:name w:val="表内文字"/>
    <w:basedOn w:val="1"/>
    <w:qFormat/>
    <w:uiPriority w:val="0"/>
    <w:pPr>
      <w:spacing w:line="500" w:lineRule="atLeast"/>
      <w:jc w:val="center"/>
    </w:pPr>
    <w:rPr>
      <w:rFonts w:ascii="Arial" w:hAnsi="Arial" w:eastAsia="楷体_GB2312" w:cs="Arial"/>
      <w:sz w:val="28"/>
    </w:rPr>
  </w:style>
  <w:style w:type="paragraph" w:customStyle="1" w:styleId="113">
    <w:name w:val="样式2"/>
    <w:basedOn w:val="3"/>
    <w:qFormat/>
    <w:uiPriority w:val="0"/>
    <w:pPr>
      <w:keepNext w:val="0"/>
      <w:pageBreakBefore/>
      <w:numPr>
        <w:ilvl w:val="0"/>
        <w:numId w:val="1"/>
      </w:numPr>
      <w:adjustRightInd w:val="0"/>
      <w:spacing w:before="240" w:beforeLines="30" w:line="578" w:lineRule="atLeast"/>
      <w:textAlignment w:val="baseline"/>
    </w:pPr>
    <w:rPr>
      <w:rFonts w:ascii="Arial" w:hAnsi="Arial" w:eastAsia="黑体" w:cs="Arial"/>
      <w:kern w:val="44"/>
      <w:sz w:val="30"/>
      <w:szCs w:val="20"/>
    </w:rPr>
  </w:style>
  <w:style w:type="paragraph" w:customStyle="1" w:styleId="114">
    <w:name w:val="Char Char Char Char Char Char Char Char Char Char Char Char1 Char Char"/>
    <w:basedOn w:val="1"/>
    <w:qFormat/>
    <w:uiPriority w:val="0"/>
    <w:rPr>
      <w:rFonts w:ascii="Tahoma" w:hAnsi="Tahoma"/>
      <w:sz w:val="24"/>
      <w:szCs w:val="20"/>
    </w:rPr>
  </w:style>
  <w:style w:type="paragraph" w:customStyle="1" w:styleId="115">
    <w:name w:val="标书标题2"/>
    <w:basedOn w:val="4"/>
    <w:qFormat/>
    <w:uiPriority w:val="0"/>
    <w:pPr>
      <w:keepLines w:val="0"/>
      <w:widowControl/>
      <w:numPr>
        <w:ilvl w:val="0"/>
        <w:numId w:val="2"/>
      </w:numPr>
      <w:tabs>
        <w:tab w:val="left" w:pos="567"/>
        <w:tab w:val="clear" w:pos="780"/>
      </w:tabs>
      <w:adjustRightInd w:val="0"/>
      <w:snapToGrid w:val="0"/>
      <w:spacing w:before="120" w:beforeLines="50" w:after="60" w:line="300" w:lineRule="auto"/>
      <w:ind w:left="567" w:leftChars="0" w:hanging="567" w:firstLineChars="0"/>
      <w:jc w:val="left"/>
    </w:pPr>
    <w:rPr>
      <w:rFonts w:ascii="Arial Narrow" w:hAnsi="Arial Narrow" w:eastAsia="仿宋_GB2312"/>
      <w:bCs w:val="0"/>
      <w:kern w:val="0"/>
      <w:sz w:val="28"/>
      <w:szCs w:val="20"/>
    </w:rPr>
  </w:style>
  <w:style w:type="paragraph" w:customStyle="1" w:styleId="116">
    <w:name w:val="金保标题1"/>
    <w:basedOn w:val="3"/>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117">
    <w:name w:val="默认段落字体 Para Char Char Char Char Char Char Char"/>
    <w:basedOn w:val="1"/>
    <w:qFormat/>
    <w:uiPriority w:val="0"/>
    <w:rPr>
      <w:rFonts w:ascii="Tahoma" w:hAnsi="Tahoma"/>
      <w:sz w:val="24"/>
      <w:szCs w:val="20"/>
    </w:rPr>
  </w:style>
  <w:style w:type="paragraph" w:customStyle="1" w:styleId="11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19">
    <w:name w:val="样式 标题 1 + 黑色 行距: 1.5 倍行距"/>
    <w:basedOn w:val="3"/>
    <w:qFormat/>
    <w:uiPriority w:val="0"/>
    <w:pPr>
      <w:keepNext w:val="0"/>
      <w:numPr>
        <w:ilvl w:val="0"/>
        <w:numId w:val="3"/>
      </w:numPr>
      <w:adjustRightInd w:val="0"/>
      <w:snapToGrid w:val="0"/>
      <w:spacing w:before="4" w:beforeLines="30" w:line="360" w:lineRule="auto"/>
      <w:ind w:right="680"/>
      <w:textAlignment w:val="baseline"/>
    </w:pPr>
    <w:rPr>
      <w:rFonts w:ascii="Arial" w:hAnsi="Arial" w:eastAsia="楷体_GB2312"/>
      <w:b w:val="0"/>
      <w:bCs/>
      <w:color w:val="000000"/>
      <w:kern w:val="0"/>
      <w:szCs w:val="20"/>
    </w:rPr>
  </w:style>
  <w:style w:type="paragraph" w:customStyle="1" w:styleId="120">
    <w:name w:val="三级条标题"/>
    <w:basedOn w:val="121"/>
    <w:next w:val="91"/>
    <w:qFormat/>
    <w:uiPriority w:val="0"/>
    <w:pPr>
      <w:ind w:left="720"/>
      <w:outlineLvl w:val="4"/>
    </w:pPr>
  </w:style>
  <w:style w:type="paragraph" w:customStyle="1" w:styleId="121">
    <w:name w:val="二级条标题"/>
    <w:basedOn w:val="122"/>
    <w:next w:val="91"/>
    <w:qFormat/>
    <w:uiPriority w:val="0"/>
    <w:pPr>
      <w:ind w:left="540"/>
      <w:outlineLvl w:val="3"/>
    </w:pPr>
  </w:style>
  <w:style w:type="paragraph" w:customStyle="1" w:styleId="122">
    <w:name w:val="一级条标题"/>
    <w:basedOn w:val="3"/>
    <w:next w:val="91"/>
    <w:qFormat/>
    <w:uiPriority w:val="0"/>
    <w:pPr>
      <w:keepNext w:val="0"/>
      <w:widowControl/>
      <w:jc w:val="both"/>
      <w:outlineLvl w:val="2"/>
    </w:pPr>
    <w:rPr>
      <w:rFonts w:ascii="黑体" w:eastAsia="黑体"/>
      <w:kern w:val="0"/>
      <w:sz w:val="21"/>
      <w:szCs w:val="20"/>
    </w:rPr>
  </w:style>
  <w:style w:type="paragraph" w:styleId="12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四级条标题"/>
    <w:basedOn w:val="120"/>
    <w:next w:val="91"/>
    <w:qFormat/>
    <w:uiPriority w:val="0"/>
    <w:pPr>
      <w:tabs>
        <w:tab w:val="left" w:pos="360"/>
      </w:tabs>
      <w:ind w:left="0"/>
      <w:outlineLvl w:val="5"/>
    </w:pPr>
  </w:style>
  <w:style w:type="paragraph" w:customStyle="1" w:styleId="125">
    <w:name w:val="p0"/>
    <w:basedOn w:val="1"/>
    <w:qFormat/>
    <w:uiPriority w:val="0"/>
    <w:pPr>
      <w:widowControl/>
      <w:spacing w:line="360" w:lineRule="auto"/>
      <w:jc w:val="left"/>
    </w:pPr>
    <w:rPr>
      <w:rFonts w:ascii="宋体" w:hAnsi="宋体" w:eastAsia="宋体" w:cs="宋体"/>
      <w:kern w:val="0"/>
      <w:sz w:val="24"/>
      <w:szCs w:val="24"/>
    </w:rPr>
  </w:style>
  <w:style w:type="paragraph" w:customStyle="1" w:styleId="126">
    <w:name w:val="正文内容"/>
    <w:basedOn w:val="1"/>
    <w:qFormat/>
    <w:uiPriority w:val="0"/>
    <w:pPr>
      <w:widowControl w:val="0"/>
      <w:ind w:firstLine="200" w:firstLineChars="200"/>
      <w:jc w:val="both"/>
    </w:pPr>
    <w:rPr>
      <w:rFonts w:ascii="仿宋_GB2312" w:hAnsi="Calibri" w:eastAsia="仿宋_GB2312"/>
      <w:kern w:val="2"/>
      <w:sz w:val="24"/>
      <w:szCs w:val="28"/>
    </w:rPr>
  </w:style>
  <w:style w:type="paragraph" w:customStyle="1" w:styleId="127">
    <w:name w:val="样式 首行缩进:  2 字符"/>
    <w:basedOn w:val="1"/>
    <w:qFormat/>
    <w:uiPriority w:val="0"/>
    <w:pPr>
      <w:tabs>
        <w:tab w:val="left" w:pos="3465"/>
        <w:tab w:val="left" w:pos="3600"/>
        <w:tab w:val="left" w:pos="3675"/>
      </w:tabs>
      <w:spacing w:line="430" w:lineRule="exact"/>
      <w:jc w:val="left"/>
    </w:pPr>
    <w:rPr>
      <w:rFonts w:eastAsia="仿宋_GB2312"/>
      <w:sz w:val="28"/>
      <w:szCs w:val="20"/>
    </w:rPr>
  </w:style>
  <w:style w:type="paragraph" w:customStyle="1" w:styleId="128">
    <w:name w:val="List Paragraph1"/>
    <w:basedOn w:val="1"/>
    <w:qFormat/>
    <w:uiPriority w:val="0"/>
    <w:pPr>
      <w:ind w:firstLine="420" w:firstLineChars="200"/>
    </w:pPr>
    <w:rPr>
      <w:rFonts w:ascii="Calibri" w:hAnsi="Calibri"/>
    </w:rPr>
  </w:style>
  <w:style w:type="paragraph" w:customStyle="1" w:styleId="129">
    <w:name w:val="样式 Arial 小四 首行缩进:  0.85 厘米"/>
    <w:basedOn w:val="1"/>
    <w:qFormat/>
    <w:uiPriority w:val="0"/>
    <w:pPr>
      <w:spacing w:line="400" w:lineRule="exact"/>
      <w:ind w:firstLine="440" w:firstLineChars="200"/>
    </w:pPr>
    <w:rPr>
      <w:rFonts w:ascii="宋体" w:hAnsi="宋体" w:cs="仿宋_GB2312"/>
      <w:sz w:val="22"/>
      <w:szCs w:val="22"/>
      <w:lang w:val="zh-CN"/>
    </w:rPr>
  </w:style>
  <w:style w:type="paragraph" w:customStyle="1" w:styleId="130">
    <w:name w:val="五级条标题"/>
    <w:basedOn w:val="124"/>
    <w:next w:val="91"/>
    <w:qFormat/>
    <w:uiPriority w:val="0"/>
    <w:pPr>
      <w:tabs>
        <w:tab w:val="left" w:pos="0"/>
        <w:tab w:val="clear" w:pos="360"/>
      </w:tabs>
      <w:outlineLvl w:val="6"/>
    </w:pPr>
  </w:style>
  <w:style w:type="paragraph" w:customStyle="1" w:styleId="131">
    <w:name w:val="正文首缩"/>
    <w:basedOn w:val="1"/>
    <w:next w:val="6"/>
    <w:qFormat/>
    <w:uiPriority w:val="0"/>
    <w:pPr>
      <w:adjustRightInd w:val="0"/>
      <w:spacing w:line="324" w:lineRule="auto"/>
      <w:ind w:firstLine="425"/>
      <w:textAlignment w:val="baseline"/>
    </w:pPr>
    <w:rPr>
      <w:kern w:val="0"/>
      <w:sz w:val="28"/>
      <w:szCs w:val="20"/>
    </w:rPr>
  </w:style>
  <w:style w:type="paragraph" w:customStyle="1" w:styleId="13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33">
    <w:name w:val="列表编号 3 New"/>
    <w:basedOn w:val="1"/>
    <w:qFormat/>
    <w:uiPriority w:val="0"/>
    <w:pPr>
      <w:widowControl/>
      <w:numPr>
        <w:ilvl w:val="0"/>
        <w:numId w:val="4"/>
      </w:numPr>
      <w:tabs>
        <w:tab w:val="left" w:pos="482"/>
      </w:tabs>
      <w:spacing w:afterLines="50"/>
      <w:jc w:val="left"/>
    </w:pPr>
    <w:rPr>
      <w:kern w:val="0"/>
      <w:sz w:val="24"/>
      <w:szCs w:val="20"/>
    </w:rPr>
  </w:style>
  <w:style w:type="paragraph" w:customStyle="1" w:styleId="134">
    <w:name w:val=" Char1 Char Char Char"/>
    <w:basedOn w:val="1"/>
    <w:qFormat/>
    <w:uiPriority w:val="0"/>
    <w:rPr>
      <w:rFonts w:ascii="Tahoma" w:hAnsi="Tahoma"/>
      <w:sz w:val="24"/>
      <w:szCs w:val="20"/>
    </w:rPr>
  </w:style>
  <w:style w:type="paragraph" w:customStyle="1" w:styleId="135">
    <w:name w:val=" Char Char Char Char Char Char Char Char Char Char Char1 Char"/>
    <w:basedOn w:val="1"/>
    <w:qFormat/>
    <w:uiPriority w:val="0"/>
  </w:style>
  <w:style w:type="paragraph" w:customStyle="1" w:styleId="136">
    <w:name w:val="小点说明"/>
    <w:basedOn w:val="1"/>
    <w:qFormat/>
    <w:uiPriority w:val="0"/>
    <w:pPr>
      <w:adjustRightInd w:val="0"/>
      <w:snapToGrid w:val="0"/>
    </w:pPr>
    <w:rPr>
      <w:rFonts w:ascii="仿宋_GB2312" w:eastAsia="仿宋_GB2312"/>
      <w:color w:val="000000"/>
      <w:szCs w:val="18"/>
    </w:rPr>
  </w:style>
  <w:style w:type="paragraph" w:customStyle="1" w:styleId="137">
    <w:name w:val="图片"/>
    <w:basedOn w:val="1"/>
    <w:qFormat/>
    <w:uiPriority w:val="0"/>
    <w:pPr>
      <w:spacing w:line="360" w:lineRule="auto"/>
      <w:jc w:val="center"/>
    </w:pPr>
    <w:rPr>
      <w:rFonts w:cs="宋体"/>
      <w:szCs w:val="20"/>
    </w:rPr>
  </w:style>
  <w:style w:type="paragraph" w:customStyle="1" w:styleId="138">
    <w:name w:val="Char Char Char"/>
    <w:basedOn w:val="1"/>
    <w:qFormat/>
    <w:uiPriority w:val="0"/>
    <w:rPr>
      <w:rFonts w:ascii="宋体" w:hAnsi="宋体" w:cs="宋体"/>
      <w:b/>
      <w:bCs/>
      <w:color w:val="000000"/>
      <w:sz w:val="22"/>
      <w:szCs w:val="22"/>
    </w:rPr>
  </w:style>
  <w:style w:type="paragraph" w:customStyle="1" w:styleId="139">
    <w:name w:val="样式 标题4 + 字距调整二号"/>
    <w:basedOn w:val="1"/>
    <w:qFormat/>
    <w:uiPriority w:val="0"/>
    <w:pPr>
      <w:tabs>
        <w:tab w:val="left" w:pos="1140"/>
      </w:tabs>
      <w:ind w:left="576" w:hanging="576"/>
    </w:pPr>
    <w:rPr>
      <w:rFonts w:ascii="宋体" w:hAnsi="宋体" w:eastAsia="仿宋_GB2312"/>
      <w:kern w:val="44"/>
      <w:sz w:val="28"/>
      <w:szCs w:val="18"/>
    </w:rPr>
  </w:style>
  <w:style w:type="paragraph" w:customStyle="1" w:styleId="140">
    <w:name w:val="Char"/>
    <w:basedOn w:val="14"/>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41">
    <w:name w:val="标题6"/>
    <w:basedOn w:val="1"/>
    <w:next w:val="3"/>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142">
    <w:name w:val="Char Char Char Char Char Char Char Char Char Char Char Char Char"/>
    <w:basedOn w:val="1"/>
    <w:qFormat/>
    <w:uiPriority w:val="0"/>
    <w:rPr>
      <w:rFonts w:ascii="Tahoma" w:hAnsi="Tahoma"/>
      <w:sz w:val="24"/>
      <w:szCs w:val="20"/>
    </w:rPr>
  </w:style>
  <w:style w:type="paragraph" w:customStyle="1" w:styleId="143">
    <w:name w:val="默认段落字体 Para Char Char Char Char Char Char Char Char Char1 Char"/>
    <w:basedOn w:val="1"/>
    <w:qFormat/>
    <w:uiPriority w:val="0"/>
    <w:rPr>
      <w:rFonts w:ascii="Tahoma" w:hAnsi="Tahoma"/>
      <w:sz w:val="24"/>
      <w:szCs w:val="20"/>
    </w:rPr>
  </w:style>
  <w:style w:type="paragraph" w:customStyle="1" w:styleId="144">
    <w:name w:val="pic"/>
    <w:basedOn w:val="1"/>
    <w:next w:val="1"/>
    <w:qFormat/>
    <w:uiPriority w:val="0"/>
    <w:pPr>
      <w:spacing w:line="360" w:lineRule="auto"/>
      <w:jc w:val="center"/>
    </w:pPr>
    <w:rPr>
      <w:rFonts w:ascii="仿宋_GB2312" w:hAnsi="Calibri" w:cs="宋体"/>
      <w:szCs w:val="20"/>
    </w:rPr>
  </w:style>
  <w:style w:type="paragraph" w:customStyle="1" w:styleId="145">
    <w:name w:val="表格标题"/>
    <w:basedOn w:val="1"/>
    <w:next w:val="1"/>
    <w:qFormat/>
    <w:uiPriority w:val="0"/>
    <w:pPr>
      <w:jc w:val="center"/>
    </w:pPr>
    <w:rPr>
      <w:rFonts w:cs="宋体"/>
      <w:b/>
      <w:bCs/>
      <w:szCs w:val="20"/>
    </w:rPr>
  </w:style>
  <w:style w:type="paragraph" w:customStyle="1" w:styleId="146">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147">
    <w:name w:val="此正文"/>
    <w:basedOn w:val="1"/>
    <w:semiHidden/>
    <w:qFormat/>
    <w:uiPriority w:val="0"/>
    <w:pPr>
      <w:spacing w:line="360" w:lineRule="auto"/>
      <w:ind w:firstLine="200" w:firstLineChars="200"/>
    </w:pPr>
    <w:rPr>
      <w:sz w:val="24"/>
    </w:rPr>
  </w:style>
  <w:style w:type="paragraph" w:customStyle="1" w:styleId="148">
    <w:name w:val="Char Char Char Char"/>
    <w:basedOn w:val="1"/>
    <w:qFormat/>
    <w:uiPriority w:val="0"/>
    <w:rPr>
      <w:rFonts w:ascii="Tahoma" w:hAnsi="Tahoma"/>
      <w:sz w:val="24"/>
      <w:szCs w:val="20"/>
    </w:rPr>
  </w:style>
  <w:style w:type="paragraph" w:customStyle="1" w:styleId="149">
    <w:name w:val=" Char Char Char Char Char Char Char Char Char Char"/>
    <w:basedOn w:val="14"/>
    <w:qFormat/>
    <w:uiPriority w:val="0"/>
    <w:pPr>
      <w:shd w:val="clear" w:color="auto" w:fill="000080"/>
    </w:pPr>
    <w:rPr>
      <w:rFonts w:ascii="Tahoma" w:hAnsi="Tahoma"/>
      <w:sz w:val="24"/>
      <w:szCs w:val="24"/>
    </w:rPr>
  </w:style>
  <w:style w:type="paragraph" w:customStyle="1" w:styleId="150">
    <w:name w:val="正文段"/>
    <w:basedOn w:val="1"/>
    <w:qFormat/>
    <w:uiPriority w:val="0"/>
    <w:pPr>
      <w:widowControl/>
      <w:snapToGrid w:val="0"/>
      <w:spacing w:after="156" w:afterLines="50"/>
      <w:ind w:firstLine="200" w:firstLineChars="200"/>
    </w:pPr>
    <w:rPr>
      <w:kern w:val="0"/>
      <w:sz w:val="24"/>
      <w:szCs w:val="20"/>
    </w:rPr>
  </w:style>
  <w:style w:type="paragraph" w:customStyle="1" w:styleId="151">
    <w:name w:val=" Char Char Char Char Char Char Char"/>
    <w:basedOn w:val="1"/>
    <w:qFormat/>
    <w:uiPriority w:val="0"/>
    <w:rPr>
      <w:rFonts w:ascii="仿宋_GB2312" w:eastAsia="仿宋_GB2312"/>
      <w:b/>
      <w:sz w:val="32"/>
      <w:szCs w:val="32"/>
    </w:rPr>
  </w:style>
  <w:style w:type="paragraph" w:customStyle="1" w:styleId="152">
    <w:name w:val="样式 宋体 行距: 多倍行距 1.25 字行"/>
    <w:basedOn w:val="1"/>
    <w:qFormat/>
    <w:uiPriority w:val="0"/>
    <w:pPr>
      <w:spacing w:line="300" w:lineRule="auto"/>
    </w:pPr>
    <w:rPr>
      <w:rFonts w:ascii="宋体" w:hAnsi="宋体" w:cs="宋体"/>
      <w:szCs w:val="20"/>
    </w:rPr>
  </w:style>
  <w:style w:type="paragraph" w:customStyle="1" w:styleId="153">
    <w:name w:val="Table Heading"/>
    <w:basedOn w:val="1"/>
    <w:qFormat/>
    <w:uiPriority w:val="0"/>
    <w:pPr>
      <w:keepNext/>
      <w:topLinePunct/>
      <w:adjustRightInd w:val="0"/>
      <w:snapToGrid w:val="0"/>
      <w:spacing w:before="80" w:after="80" w:line="240" w:lineRule="atLeast"/>
      <w:jc w:val="left"/>
    </w:pPr>
    <w:rPr>
      <w:rFonts w:ascii="Book Antiqua" w:hAnsi="Book Antiqua" w:eastAsia="黑体" w:cs="Book Antiqua"/>
      <w:bCs/>
      <w:snapToGrid w:val="0"/>
      <w:kern w:val="0"/>
      <w:szCs w:val="21"/>
    </w:rPr>
  </w:style>
  <w:style w:type="paragraph" w:customStyle="1" w:styleId="154">
    <w:name w:val="Char1"/>
    <w:basedOn w:val="1"/>
    <w:qFormat/>
    <w:uiPriority w:val="0"/>
    <w:rPr>
      <w:rFonts w:ascii="仿宋_GB2312" w:eastAsia="仿宋_GB2312"/>
      <w:b/>
      <w:sz w:val="32"/>
      <w:szCs w:val="32"/>
    </w:rPr>
  </w:style>
  <w:style w:type="paragraph" w:customStyle="1" w:styleId="155">
    <w:name w:val=" Char Char8"/>
    <w:basedOn w:val="1"/>
    <w:qFormat/>
    <w:uiPriority w:val="0"/>
    <w:rPr>
      <w:rFonts w:ascii="Tahoma" w:hAnsi="Tahoma"/>
      <w:sz w:val="24"/>
      <w:szCs w:val="20"/>
    </w:rPr>
  </w:style>
  <w:style w:type="paragraph" w:customStyle="1" w:styleId="15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Char Char Char1"/>
    <w:basedOn w:val="1"/>
    <w:qFormat/>
    <w:uiPriority w:val="0"/>
    <w:pPr>
      <w:keepNext/>
      <w:keepLines/>
      <w:pageBreakBefore/>
      <w:tabs>
        <w:tab w:val="left" w:pos="432"/>
      </w:tabs>
      <w:adjustRightInd w:val="0"/>
      <w:ind w:left="432" w:hanging="432"/>
      <w:textAlignment w:val="baseline"/>
    </w:pPr>
    <w:rPr>
      <w:kern w:val="0"/>
    </w:rPr>
  </w:style>
  <w:style w:type="paragraph" w:customStyle="1" w:styleId="15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59">
    <w:name w:val="正文缩进2"/>
    <w:basedOn w:val="1"/>
    <w:next w:val="1"/>
    <w:qFormat/>
    <w:uiPriority w:val="0"/>
    <w:pPr>
      <w:spacing w:line="500" w:lineRule="exact"/>
      <w:ind w:firstLine="567"/>
    </w:pPr>
    <w:rPr>
      <w:sz w:val="24"/>
      <w:szCs w:val="20"/>
    </w:rPr>
  </w:style>
  <w:style w:type="paragraph" w:customStyle="1" w:styleId="160">
    <w:name w:val=" Char1 Char Char Char Char Char Char"/>
    <w:basedOn w:val="1"/>
    <w:qFormat/>
    <w:uiPriority w:val="0"/>
    <w:rPr>
      <w:rFonts w:ascii="Tahoma" w:hAnsi="Tahoma"/>
      <w:sz w:val="24"/>
      <w:szCs w:val="20"/>
    </w:rPr>
  </w:style>
  <w:style w:type="paragraph" w:customStyle="1" w:styleId="161">
    <w:name w:val="金保首页2"/>
    <w:basedOn w:val="1"/>
    <w:next w:val="1"/>
    <w:qFormat/>
    <w:uiPriority w:val="0"/>
    <w:pPr>
      <w:jc w:val="center"/>
    </w:pPr>
    <w:rPr>
      <w:rFonts w:ascii="Tahoma" w:hAnsi="Tahoma" w:eastAsia="黑体"/>
      <w:b/>
      <w:bCs/>
      <w:sz w:val="72"/>
      <w:szCs w:val="72"/>
    </w:rPr>
  </w:style>
  <w:style w:type="paragraph" w:customStyle="1" w:styleId="162">
    <w:name w:val="Char Char Char Char Char Char Char Char Char Char Char1 Char"/>
    <w:basedOn w:val="1"/>
    <w:qFormat/>
    <w:uiPriority w:val="0"/>
  </w:style>
  <w:style w:type="paragraph" w:customStyle="1" w:styleId="163">
    <w:name w:val=" 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164">
    <w:name w:val=" 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65">
    <w:name w:val="附录项目"/>
    <w:basedOn w:val="8"/>
    <w:qFormat/>
    <w:uiPriority w:val="0"/>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166">
    <w:name w:val="Char Char"/>
    <w:basedOn w:val="1"/>
    <w:qFormat/>
    <w:uiPriority w:val="0"/>
    <w:rPr>
      <w:rFonts w:ascii="仿宋_GB2312" w:eastAsia="仿宋_GB2312"/>
      <w:b/>
      <w:sz w:val="32"/>
      <w:szCs w:val="32"/>
    </w:rPr>
  </w:style>
  <w:style w:type="paragraph" w:customStyle="1" w:styleId="167">
    <w:name w:val="样式 标题4 + 字距调整二号1"/>
    <w:basedOn w:val="1"/>
    <w:qFormat/>
    <w:uiPriority w:val="0"/>
    <w:pPr>
      <w:tabs>
        <w:tab w:val="left" w:pos="1860"/>
      </w:tabs>
      <w:ind w:left="1860" w:hanging="420"/>
    </w:pPr>
    <w:rPr>
      <w:rFonts w:ascii="宋体" w:hAnsi="宋体" w:eastAsia="仿宋_GB2312"/>
      <w:kern w:val="44"/>
      <w:sz w:val="28"/>
      <w:szCs w:val="18"/>
    </w:rPr>
  </w:style>
  <w:style w:type="paragraph" w:customStyle="1" w:styleId="168">
    <w:name w:val="Item List in Table"/>
    <w:basedOn w:val="1"/>
    <w:qFormat/>
    <w:uiPriority w:val="0"/>
    <w:pPr>
      <w:widowControl/>
      <w:numPr>
        <w:ilvl w:val="0"/>
        <w:numId w:val="5"/>
      </w:numPr>
      <w:topLinePunct/>
      <w:adjustRightInd w:val="0"/>
      <w:snapToGrid w:val="0"/>
      <w:spacing w:before="80" w:after="80" w:line="240" w:lineRule="atLeast"/>
      <w:jc w:val="left"/>
    </w:pPr>
    <w:rPr>
      <w:rFonts w:cs="Arial"/>
      <w:kern w:val="0"/>
      <w:sz w:val="21"/>
      <w:szCs w:val="21"/>
    </w:rPr>
  </w:style>
  <w:style w:type="paragraph" w:customStyle="1" w:styleId="169">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170">
    <w:name w:val="Body Text(ch)"/>
    <w:basedOn w:val="1"/>
    <w:next w:val="18"/>
    <w:qFormat/>
    <w:uiPriority w:val="0"/>
    <w:pPr>
      <w:spacing w:line="500" w:lineRule="exact"/>
      <w:jc w:val="center"/>
    </w:pPr>
  </w:style>
  <w:style w:type="paragraph" w:styleId="171">
    <w:name w:val="List Paragraph"/>
    <w:basedOn w:val="1"/>
    <w:qFormat/>
    <w:uiPriority w:val="34"/>
    <w:pPr>
      <w:ind w:firstLine="420" w:firstLineChars="200"/>
    </w:pPr>
    <w:rPr>
      <w:rFonts w:ascii="Calibri" w:hAnsi="Calibri"/>
      <w:szCs w:val="22"/>
    </w:rPr>
  </w:style>
  <w:style w:type="paragraph" w:customStyle="1" w:styleId="172">
    <w:name w:val="样式 标题4 + (中文) 仿宋_GB2312"/>
    <w:basedOn w:val="1"/>
    <w:qFormat/>
    <w:uiPriority w:val="0"/>
    <w:pPr>
      <w:tabs>
        <w:tab w:val="left" w:pos="960"/>
      </w:tabs>
      <w:ind w:firstLine="560" w:firstLineChars="200"/>
      <w:jc w:val="left"/>
    </w:pPr>
    <w:rPr>
      <w:rFonts w:ascii="宋体" w:hAnsi="宋体" w:eastAsia="仿宋_GB2312"/>
      <w:kern w:val="44"/>
      <w:sz w:val="28"/>
      <w:szCs w:val="18"/>
    </w:rPr>
  </w:style>
  <w:style w:type="paragraph" w:customStyle="1" w:styleId="173">
    <w:name w:val="样式 标题 3 + (西文) Arial (中文) 楷体_GB2312 加粗 非倾斜 段前: 0 磅 段后: 0.2 ..."/>
    <w:basedOn w:val="5"/>
    <w:qFormat/>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174">
    <w:name w:val="正表格内容"/>
    <w:basedOn w:val="1"/>
    <w:qFormat/>
    <w:uiPriority w:val="0"/>
    <w:pPr>
      <w:widowControl/>
      <w:tabs>
        <w:tab w:val="left" w:pos="480"/>
      </w:tabs>
      <w:autoSpaceDE w:val="0"/>
      <w:autoSpaceDN w:val="0"/>
      <w:adjustRightInd w:val="0"/>
      <w:jc w:val="center"/>
      <w:textAlignment w:val="bottom"/>
    </w:pPr>
    <w:rPr>
      <w:rFonts w:ascii="宋体"/>
      <w:kern w:val="0"/>
      <w:sz w:val="18"/>
      <w:szCs w:val="20"/>
    </w:rPr>
  </w:style>
  <w:style w:type="paragraph" w:customStyle="1" w:styleId="175">
    <w:name w:val="正文－恩普"/>
    <w:basedOn w:val="7"/>
    <w:qFormat/>
    <w:uiPriority w:val="0"/>
    <w:pPr>
      <w:framePr w:wrap="around" w:vAnchor="text" w:hAnchor="text" w:y="1"/>
      <w:spacing w:line="360" w:lineRule="auto"/>
      <w:ind w:firstLine="200"/>
    </w:pPr>
    <w:rPr>
      <w:sz w:val="24"/>
    </w:rPr>
  </w:style>
  <w:style w:type="paragraph" w:customStyle="1" w:styleId="176">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177">
    <w:name w:val="Char Char Char Char Char Char Char"/>
    <w:basedOn w:val="1"/>
    <w:qFormat/>
    <w:uiPriority w:val="0"/>
    <w:rPr>
      <w:rFonts w:ascii="仿宋_GB2312" w:eastAsia="仿宋_GB2312"/>
      <w:b/>
      <w:sz w:val="32"/>
      <w:szCs w:val="32"/>
    </w:rPr>
  </w:style>
  <w:style w:type="paragraph" w:customStyle="1" w:styleId="178">
    <w:name w:val="表格标题(居中)"/>
    <w:basedOn w:val="1"/>
    <w:qFormat/>
    <w:uiPriority w:val="0"/>
    <w:pPr>
      <w:snapToGrid w:val="0"/>
      <w:jc w:val="center"/>
    </w:pPr>
    <w:rPr>
      <w:rFonts w:eastAsia="黑体"/>
    </w:rPr>
  </w:style>
  <w:style w:type="paragraph" w:customStyle="1" w:styleId="179">
    <w:name w:val=" Char Char Char Char Char Char Char Char Char Char Char Char1 Char Char"/>
    <w:basedOn w:val="1"/>
    <w:qFormat/>
    <w:uiPriority w:val="0"/>
    <w:rPr>
      <w:rFonts w:ascii="Tahoma" w:hAnsi="Tahoma"/>
      <w:sz w:val="24"/>
      <w:szCs w:val="20"/>
    </w:rPr>
  </w:style>
  <w:style w:type="paragraph" w:customStyle="1" w:styleId="180">
    <w:name w:val=" Char Char Char Char Char Char Char Char Char Char Char Char Char"/>
    <w:basedOn w:val="1"/>
    <w:qFormat/>
    <w:uiPriority w:val="0"/>
    <w:rPr>
      <w:rFonts w:ascii="Tahoma" w:hAnsi="Tahoma"/>
      <w:sz w:val="24"/>
      <w:szCs w:val="20"/>
    </w:rPr>
  </w:style>
  <w:style w:type="paragraph" w:customStyle="1" w:styleId="181">
    <w:name w:val="默认段落字体 Para Char Char Char Char"/>
    <w:basedOn w:val="1"/>
    <w:qFormat/>
    <w:uiPriority w:val="0"/>
  </w:style>
  <w:style w:type="paragraph" w:customStyle="1" w:styleId="182">
    <w:name w:val="文档正文"/>
    <w:basedOn w:val="1"/>
    <w:qFormat/>
    <w:uiPriority w:val="0"/>
    <w:pPr>
      <w:adjustRightInd w:val="0"/>
      <w:spacing w:line="480" w:lineRule="atLeast"/>
      <w:ind w:firstLine="567"/>
      <w:textAlignment w:val="baseline"/>
    </w:pPr>
    <w:rPr>
      <w:kern w:val="0"/>
      <w:sz w:val="24"/>
      <w:szCs w:val="20"/>
    </w:rPr>
  </w:style>
  <w:style w:type="paragraph" w:customStyle="1" w:styleId="183">
    <w:name w:val="Item List"/>
    <w:qFormat/>
    <w:uiPriority w:val="0"/>
    <w:pPr>
      <w:adjustRightInd w:val="0"/>
      <w:snapToGrid w:val="0"/>
      <w:spacing w:before="80" w:after="80" w:line="240" w:lineRule="atLeast"/>
    </w:pPr>
    <w:rPr>
      <w:rFonts w:ascii="Times New Roman" w:hAnsi="Times New Roman" w:eastAsia="宋体" w:cs="Arial"/>
      <w:kern w:val="2"/>
      <w:sz w:val="21"/>
      <w:szCs w:val="21"/>
      <w:lang w:val="en-US" w:eastAsia="zh-CN" w:bidi="ar-SA"/>
    </w:rPr>
  </w:style>
  <w:style w:type="paragraph" w:customStyle="1" w:styleId="184">
    <w:name w:val="正文文本 21"/>
    <w:basedOn w:val="1"/>
    <w:qFormat/>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185">
    <w:name w:val="正文—首行"/>
    <w:basedOn w:val="1"/>
    <w:qFormat/>
    <w:uiPriority w:val="0"/>
    <w:pPr>
      <w:spacing w:line="360" w:lineRule="auto"/>
      <w:ind w:firstLine="480" w:firstLineChars="200"/>
    </w:pPr>
    <w:rPr>
      <w:rFonts w:ascii="Calibri" w:hAnsi="Calibri"/>
      <w:sz w:val="24"/>
      <w:szCs w:val="22"/>
    </w:rPr>
  </w:style>
  <w:style w:type="paragraph" w:customStyle="1" w:styleId="18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87">
    <w:name w:val="_Style 12"/>
    <w:basedOn w:val="1"/>
    <w:qFormat/>
    <w:uiPriority w:val="0"/>
    <w:pPr>
      <w:ind w:firstLine="420" w:firstLineChars="200"/>
    </w:pPr>
    <w:rPr>
      <w:rFonts w:ascii="Calibri" w:hAnsi="Calibri"/>
      <w:sz w:val="21"/>
      <w:szCs w:val="22"/>
    </w:rPr>
  </w:style>
  <w:style w:type="paragraph" w:customStyle="1" w:styleId="188">
    <w:name w:val="样式1"/>
    <w:basedOn w:val="1"/>
    <w:qFormat/>
    <w:uiPriority w:val="0"/>
    <w:pPr>
      <w:spacing w:before="120" w:after="120" w:line="300" w:lineRule="auto"/>
    </w:pPr>
    <w:rPr>
      <w:rFonts w:ascii="宋体" w:hAnsi="宋体"/>
      <w:b/>
      <w:sz w:val="24"/>
      <w:szCs w:val="20"/>
    </w:rPr>
  </w:style>
  <w:style w:type="paragraph" w:customStyle="1" w:styleId="189">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90">
    <w:name w:val="(一)"/>
    <w:basedOn w:val="1"/>
    <w:qFormat/>
    <w:uiPriority w:val="0"/>
    <w:pPr>
      <w:widowControl w:val="0"/>
    </w:pPr>
    <w:rPr>
      <w:kern w:val="2"/>
      <w:szCs w:val="24"/>
    </w:rPr>
  </w:style>
  <w:style w:type="paragraph" w:customStyle="1" w:styleId="191">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2">
    <w:name w:val="op_mapdots_left"/>
    <w:basedOn w:val="1"/>
    <w:qFormat/>
    <w:uiPriority w:val="0"/>
    <w:pPr>
      <w:jc w:val="left"/>
    </w:pPr>
    <w:rPr>
      <w:kern w:val="0"/>
      <w:sz w:val="21"/>
    </w:rPr>
  </w:style>
  <w:style w:type="paragraph" w:customStyle="1" w:styleId="193">
    <w:name w:val="表格文字"/>
    <w:basedOn w:val="1"/>
    <w:next w:val="18"/>
    <w:qFormat/>
    <w:uiPriority w:val="0"/>
    <w:pPr>
      <w:adjustRightInd w:val="0"/>
      <w:spacing w:line="420" w:lineRule="atLeast"/>
      <w:jc w:val="left"/>
      <w:textAlignment w:val="baseline"/>
    </w:pPr>
    <w:rPr>
      <w:kern w:val="0"/>
      <w:sz w:val="21"/>
    </w:rPr>
  </w:style>
  <w:style w:type="paragraph" w:customStyle="1" w:styleId="194">
    <w:name w:val="前言、引言标题"/>
    <w:next w:val="1"/>
    <w:qFormat/>
    <w:uiPriority w:val="0"/>
    <w:pPr>
      <w:numPr>
        <w:ilvl w:val="0"/>
        <w:numId w:val="6"/>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95">
    <w:name w:val="Char Char Char Char Char Char Char Char Char Char"/>
    <w:basedOn w:val="14"/>
    <w:qFormat/>
    <w:uiPriority w:val="0"/>
    <w:pPr>
      <w:shd w:val="clear" w:color="auto" w:fill="000080"/>
    </w:pPr>
    <w:rPr>
      <w:rFonts w:ascii="Tahoma" w:hAnsi="Tahoma" w:cs="Times New Roman"/>
      <w:sz w:val="24"/>
      <w:szCs w:val="24"/>
    </w:rPr>
  </w:style>
  <w:style w:type="paragraph" w:customStyle="1" w:styleId="196">
    <w:name w:val="列出段落1"/>
    <w:basedOn w:val="1"/>
    <w:qFormat/>
    <w:uiPriority w:val="0"/>
    <w:pPr>
      <w:ind w:firstLine="420" w:firstLineChars="200"/>
    </w:pPr>
    <w:rPr>
      <w:rFonts w:ascii="Times New Roman" w:hAnsi="Times New Roman" w:eastAsia="宋体" w:cs="Times New Roman"/>
      <w:szCs w:val="24"/>
    </w:rPr>
  </w:style>
  <w:style w:type="paragraph" w:customStyle="1" w:styleId="197">
    <w:name w:val="样式 宋体 行距: 多倍行距 1.25 字行1"/>
    <w:basedOn w:val="1"/>
    <w:qFormat/>
    <w:uiPriority w:val="0"/>
    <w:pPr>
      <w:spacing w:line="300" w:lineRule="auto"/>
    </w:pPr>
    <w:rPr>
      <w:rFonts w:ascii="宋体" w:hAnsi="宋体" w:cs="宋体"/>
      <w:szCs w:val="20"/>
    </w:rPr>
  </w:style>
  <w:style w:type="paragraph" w:customStyle="1" w:styleId="198">
    <w:name w:val="Char1 Char Char Char Char Char Char"/>
    <w:basedOn w:val="1"/>
    <w:qFormat/>
    <w:uiPriority w:val="0"/>
    <w:rPr>
      <w:rFonts w:ascii="Tahoma" w:hAnsi="Tahoma"/>
      <w:sz w:val="24"/>
      <w:szCs w:val="20"/>
    </w:rPr>
  </w:style>
  <w:style w:type="paragraph" w:customStyle="1" w:styleId="199">
    <w:name w:val="Body Text 2"/>
    <w:basedOn w:val="1"/>
    <w:qFormat/>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200">
    <w:name w:val="Char1 Char Char Char1"/>
    <w:basedOn w:val="1"/>
    <w:qFormat/>
    <w:uiPriority w:val="0"/>
    <w:rPr>
      <w:rFonts w:ascii="Tahoma" w:hAnsi="Tahoma"/>
      <w:sz w:val="24"/>
      <w:szCs w:val="20"/>
    </w:rPr>
  </w:style>
  <w:style w:type="paragraph" w:customStyle="1" w:styleId="201">
    <w:name w:val="_Style 32"/>
    <w:basedOn w:val="1"/>
    <w:qFormat/>
    <w:uiPriority w:val="0"/>
    <w:rPr>
      <w:szCs w:val="20"/>
    </w:rPr>
  </w:style>
  <w:style w:type="paragraph" w:customStyle="1" w:styleId="202">
    <w:name w:val="Table Paragraph"/>
    <w:basedOn w:val="1"/>
    <w:qFormat/>
    <w:uiPriority w:val="1"/>
    <w:rPr>
      <w:rFonts w:ascii="宋体" w:hAnsi="宋体" w:eastAsia="宋体" w:cs="宋体"/>
    </w:rPr>
  </w:style>
  <w:style w:type="paragraph" w:customStyle="1" w:styleId="203">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204">
    <w:name w:val="无间隔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205">
    <w:name w:val=" Char Char Char Char"/>
    <w:basedOn w:val="1"/>
    <w:qFormat/>
    <w:uiPriority w:val="0"/>
    <w:rPr>
      <w:rFonts w:ascii="Tahoma" w:hAnsi="Tahoma"/>
      <w:sz w:val="24"/>
      <w:szCs w:val="20"/>
    </w:rPr>
  </w:style>
  <w:style w:type="paragraph" w:customStyle="1" w:styleId="206">
    <w:name w:val=" Char Char Char"/>
    <w:basedOn w:val="1"/>
    <w:qFormat/>
    <w:uiPriority w:val="0"/>
    <w:pPr>
      <w:keepNext/>
      <w:keepLines/>
      <w:pageBreakBefore/>
      <w:tabs>
        <w:tab w:val="left" w:pos="432"/>
      </w:tabs>
      <w:adjustRightInd w:val="0"/>
      <w:ind w:left="432" w:hanging="432"/>
      <w:textAlignment w:val="baseline"/>
    </w:pPr>
    <w:rPr>
      <w:kern w:val="0"/>
      <w:sz w:val="22"/>
    </w:rPr>
  </w:style>
  <w:style w:type="paragraph" w:customStyle="1" w:styleId="207">
    <w:name w:val="样式 正文首行缩进 + 首行缩进:  1 字符"/>
    <w:basedOn w:val="1"/>
    <w:next w:val="140"/>
    <w:qFormat/>
    <w:uiPriority w:val="0"/>
    <w:pPr>
      <w:spacing w:line="360" w:lineRule="auto"/>
      <w:ind w:firstLine="200" w:firstLineChars="200"/>
    </w:pPr>
    <w:rPr>
      <w:rFonts w:cs="宋体"/>
      <w:sz w:val="24"/>
      <w:szCs w:val="20"/>
    </w:rPr>
  </w:style>
  <w:style w:type="paragraph" w:customStyle="1" w:styleId="208">
    <w:name w:val="font6"/>
    <w:basedOn w:val="1"/>
    <w:qFormat/>
    <w:uiPriority w:val="0"/>
    <w:pPr>
      <w:widowControl/>
      <w:spacing w:before="100" w:beforeAutospacing="1" w:after="100" w:afterAutospacing="1"/>
      <w:jc w:val="left"/>
    </w:pPr>
    <w:rPr>
      <w:rFonts w:eastAsia="Arial Unicode MS"/>
      <w:kern w:val="0"/>
      <w:szCs w:val="21"/>
      <w:lang w:eastAsia="en-US"/>
    </w:rPr>
  </w:style>
  <w:style w:type="paragraph" w:customStyle="1" w:styleId="209">
    <w:name w:val="_Style 208"/>
    <w:basedOn w:val="3"/>
    <w:next w:val="1"/>
    <w:qFormat/>
    <w:uiPriority w:val="39"/>
    <w:pPr>
      <w:keepLines/>
      <w:widowControl/>
      <w:spacing w:before="480" w:line="276" w:lineRule="auto"/>
      <w:outlineLvl w:val="9"/>
    </w:pPr>
    <w:rPr>
      <w:rFonts w:ascii="Cambria" w:hAnsi="Cambria" w:eastAsia="宋体" w:cs="Times New Roman"/>
      <w:bCs/>
      <w:color w:val="365F91"/>
      <w:kern w:val="0"/>
      <w:szCs w:val="28"/>
    </w:rPr>
  </w:style>
  <w:style w:type="paragraph" w:customStyle="1" w:styleId="210">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
    <w:name w:val="表格(五号)"/>
    <w:basedOn w:val="1"/>
    <w:qFormat/>
    <w:uiPriority w:val="0"/>
    <w:pPr>
      <w:adjustRightInd w:val="0"/>
      <w:snapToGrid w:val="0"/>
      <w:spacing w:before="60" w:after="60"/>
      <w:ind w:left="11"/>
      <w:jc w:val="center"/>
    </w:pPr>
    <w:rPr>
      <w:kern w:val="0"/>
      <w:szCs w:val="20"/>
    </w:rPr>
  </w:style>
  <w:style w:type="paragraph" w:customStyle="1" w:styleId="212">
    <w:name w:val="Char Char8"/>
    <w:basedOn w:val="1"/>
    <w:qFormat/>
    <w:uiPriority w:val="0"/>
    <w:rPr>
      <w:rFonts w:ascii="Tahoma" w:hAnsi="Tahoma"/>
      <w:sz w:val="24"/>
      <w:szCs w:val="20"/>
    </w:rPr>
  </w:style>
  <w:style w:type="paragraph" w:customStyle="1" w:styleId="213">
    <w:name w:val=" Char"/>
    <w:basedOn w:val="1"/>
    <w:qFormat/>
    <w:uiPriority w:val="0"/>
    <w:rPr>
      <w:rFonts w:ascii="仿宋_GB2312" w:eastAsia="仿宋_GB2312"/>
      <w:b/>
      <w:sz w:val="32"/>
      <w:szCs w:val="32"/>
    </w:rPr>
  </w:style>
  <w:style w:type="paragraph" w:customStyle="1" w:styleId="21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l正文"/>
    <w:basedOn w:val="1"/>
    <w:qFormat/>
    <w:uiPriority w:val="0"/>
    <w:pPr>
      <w:widowControl w:val="0"/>
      <w:spacing w:line="300" w:lineRule="auto"/>
      <w:ind w:firstLine="200" w:firstLineChars="200"/>
    </w:pPr>
    <w:rPr>
      <w:rFonts w:ascii="楷体_GB2312" w:hAnsi="Times" w:eastAsia="楷体_GB2312" w:cs="等线"/>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5457</Words>
  <Characters>31106</Characters>
  <Lines>259</Lines>
  <Paragraphs>72</Paragraphs>
  <TotalTime>0</TotalTime>
  <ScaleCrop>false</ScaleCrop>
  <LinksUpToDate>false</LinksUpToDate>
  <CharactersWithSpaces>36491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2020-05-08T07:05:00Z</dcterms:created>
  <dc:creator>a</dc:creator>
  <cp:lastModifiedBy>树懒先生</cp:lastModifiedBy>
  <cp:lastPrinted>2021-09-24T01:24:00Z</cp:lastPrinted>
  <dcterms:modified xsi:type="dcterms:W3CDTF">2021-09-24T02:10:17Z</dcterms:modified>
  <dc:title>政府采购中心招 标 文 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E3C8BAD55A3D4C11A9DCB27552B270E5</vt:lpwstr>
  </property>
</Properties>
</file>