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8"/>
        <w:tblW w:w="0" w:type="auto"/>
        <w:tblInd w:w="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25"/>
      </w:tblGrid>
      <w:tr w14:paraId="315B8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6" w:hRule="atLeast"/>
        </w:trPr>
        <w:tc>
          <w:tcPr>
            <w:tcW w:w="9025" w:type="dxa"/>
          </w:tcPr>
          <w:p w14:paraId="23E5E5BF">
            <w:pPr>
              <w:tabs>
                <w:tab w:val="left" w:pos="6477"/>
              </w:tabs>
              <w:wordWrap w:val="0"/>
              <w:spacing w:line="360" w:lineRule="auto"/>
              <w:jc w:val="center"/>
              <w:rPr>
                <w:rFonts w:hint="eastAsia" w:ascii="宋体" w:hAnsi="宋体" w:eastAsia="宋体" w:cs="宋体"/>
                <w:b/>
                <w:color w:val="auto"/>
                <w:sz w:val="36"/>
                <w:highlight w:val="none"/>
              </w:rPr>
            </w:pPr>
          </w:p>
          <w:p w14:paraId="34D25052">
            <w:pPr>
              <w:wordWrap w:val="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平  阳  县</w:t>
            </w:r>
          </w:p>
          <w:p w14:paraId="6FCA177E">
            <w:pPr>
              <w:wordWrap w:val="0"/>
              <w:jc w:val="center"/>
              <w:rPr>
                <w:rFonts w:hint="eastAsia" w:ascii="宋体" w:hAnsi="宋体" w:eastAsia="宋体" w:cs="宋体"/>
                <w:color w:val="auto"/>
                <w:sz w:val="84"/>
                <w:szCs w:val="84"/>
                <w:highlight w:val="none"/>
              </w:rPr>
            </w:pPr>
            <w:r>
              <w:rPr>
                <w:rFonts w:hint="eastAsia" w:ascii="宋体" w:hAnsi="宋体" w:eastAsia="宋体" w:cs="宋体"/>
                <w:color w:val="auto"/>
                <w:sz w:val="84"/>
                <w:szCs w:val="84"/>
                <w:highlight w:val="none"/>
              </w:rPr>
              <w:t>国有企业采购采购文件</w:t>
            </w:r>
          </w:p>
          <w:p w14:paraId="127E8007">
            <w:pPr>
              <w:wordWrap w:val="0"/>
              <w:ind w:left="1148" w:firstLine="1968" w:firstLineChars="700"/>
              <w:rPr>
                <w:rFonts w:hint="eastAsia" w:ascii="宋体" w:hAnsi="宋体" w:eastAsia="宋体" w:cs="宋体"/>
                <w:b/>
                <w:bCs/>
                <w:color w:val="auto"/>
                <w:sz w:val="28"/>
                <w:highlight w:val="none"/>
              </w:rPr>
            </w:pPr>
            <w:r>
              <w:rPr>
                <w:rFonts w:hint="eastAsia" w:ascii="宋体" w:hAnsi="宋体" w:eastAsia="宋体" w:cs="宋体"/>
                <w:b/>
                <w:bCs/>
                <w:color w:val="auto"/>
                <w:sz w:val="28"/>
                <w:highlight w:val="none"/>
              </w:rPr>
              <w:t>（线上电子招投标）</w:t>
            </w:r>
          </w:p>
          <w:p w14:paraId="3F0280FF">
            <w:pPr>
              <w:pStyle w:val="10"/>
              <w:ind w:firstLine="281"/>
              <w:rPr>
                <w:rFonts w:hint="eastAsia" w:ascii="宋体" w:hAnsi="宋体" w:eastAsia="宋体" w:cs="宋体"/>
                <w:b/>
                <w:bCs w:val="0"/>
                <w:color w:val="auto"/>
                <w:sz w:val="28"/>
                <w:highlight w:val="none"/>
              </w:rPr>
            </w:pPr>
          </w:p>
          <w:p w14:paraId="57F0FC13">
            <w:pPr>
              <w:pStyle w:val="11"/>
              <w:rPr>
                <w:rFonts w:hint="eastAsia" w:ascii="宋体" w:hAnsi="宋体" w:eastAsia="宋体" w:cs="宋体"/>
                <w:b/>
                <w:bCs/>
                <w:color w:val="auto"/>
                <w:sz w:val="28"/>
                <w:highlight w:val="none"/>
              </w:rPr>
            </w:pPr>
          </w:p>
          <w:p w14:paraId="312D1D19">
            <w:pPr>
              <w:rPr>
                <w:rFonts w:hint="eastAsia" w:ascii="宋体" w:hAnsi="宋体" w:eastAsia="宋体" w:cs="宋体"/>
                <w:b/>
                <w:bCs/>
                <w:color w:val="auto"/>
                <w:sz w:val="28"/>
                <w:highlight w:val="none"/>
              </w:rPr>
            </w:pPr>
          </w:p>
          <w:p w14:paraId="399F50D9">
            <w:pPr>
              <w:pStyle w:val="10"/>
              <w:ind w:firstLine="210"/>
              <w:rPr>
                <w:rFonts w:hint="eastAsia" w:ascii="宋体" w:hAnsi="宋体" w:eastAsia="宋体" w:cs="宋体"/>
                <w:color w:val="auto"/>
                <w:highlight w:val="none"/>
              </w:rPr>
            </w:pPr>
          </w:p>
          <w:p w14:paraId="3A7B7389">
            <w:pPr>
              <w:pStyle w:val="10"/>
              <w:ind w:firstLine="210"/>
              <w:rPr>
                <w:rFonts w:hint="eastAsia" w:ascii="宋体" w:hAnsi="宋体" w:eastAsia="宋体" w:cs="宋体"/>
                <w:color w:val="auto"/>
                <w:highlight w:val="none"/>
              </w:rPr>
            </w:pPr>
          </w:p>
          <w:p w14:paraId="7576FEA9">
            <w:pPr>
              <w:pStyle w:val="10"/>
              <w:ind w:firstLine="210"/>
              <w:rPr>
                <w:rFonts w:hint="eastAsia" w:ascii="宋体" w:hAnsi="宋体" w:eastAsia="宋体" w:cs="宋体"/>
                <w:color w:val="auto"/>
                <w:highlight w:val="none"/>
              </w:rPr>
            </w:pPr>
          </w:p>
          <w:p w14:paraId="08458288">
            <w:pPr>
              <w:rPr>
                <w:rFonts w:hint="eastAsia" w:ascii="宋体" w:hAnsi="宋体" w:eastAsia="宋体" w:cs="宋体"/>
                <w:color w:val="auto"/>
                <w:highlight w:val="none"/>
              </w:rPr>
            </w:pPr>
          </w:p>
          <w:tbl>
            <w:tblPr>
              <w:tblStyle w:val="28"/>
              <w:tblW w:w="0" w:type="auto"/>
              <w:jc w:val="center"/>
              <w:tblLayout w:type="fixed"/>
              <w:tblCellMar>
                <w:top w:w="0" w:type="dxa"/>
                <w:left w:w="108" w:type="dxa"/>
                <w:bottom w:w="0" w:type="dxa"/>
                <w:right w:w="108" w:type="dxa"/>
              </w:tblCellMar>
            </w:tblPr>
            <w:tblGrid>
              <w:gridCol w:w="2304"/>
              <w:gridCol w:w="4803"/>
            </w:tblGrid>
            <w:tr w14:paraId="36778EC8">
              <w:tblPrEx>
                <w:tblCellMar>
                  <w:top w:w="0" w:type="dxa"/>
                  <w:left w:w="108" w:type="dxa"/>
                  <w:bottom w:w="0" w:type="dxa"/>
                  <w:right w:w="108" w:type="dxa"/>
                </w:tblCellMar>
              </w:tblPrEx>
              <w:trPr>
                <w:jc w:val="center"/>
              </w:trPr>
              <w:tc>
                <w:tcPr>
                  <w:tcW w:w="2304" w:type="dxa"/>
                </w:tcPr>
                <w:p w14:paraId="60409290">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项目名称</w:t>
                  </w:r>
                  <w:r>
                    <w:rPr>
                      <w:rFonts w:hint="eastAsia" w:ascii="宋体" w:hAnsi="宋体" w:eastAsia="宋体" w:cs="宋体"/>
                      <w:b/>
                      <w:bCs/>
                      <w:color w:val="auto"/>
                      <w:sz w:val="30"/>
                      <w:szCs w:val="30"/>
                      <w:highlight w:val="none"/>
                      <w:lang w:eastAsia="zh-CN"/>
                    </w:rPr>
                    <w:t>：</w:t>
                  </w:r>
                </w:p>
              </w:tc>
              <w:tc>
                <w:tcPr>
                  <w:tcW w:w="4803" w:type="dxa"/>
                </w:tcPr>
                <w:p w14:paraId="5635EF1A">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28"/>
                      <w:szCs w:val="28"/>
                      <w:highlight w:val="none"/>
                      <w:lang w:eastAsia="zh-CN"/>
                    </w:rPr>
                    <w:t>2026年度采购雁荡山君澜度假酒店液化天然气（LNG）、运输及天然气站维护服务采购</w:t>
                  </w:r>
                </w:p>
              </w:tc>
            </w:tr>
            <w:tr w14:paraId="746AD616">
              <w:tblPrEx>
                <w:tblCellMar>
                  <w:top w:w="0" w:type="dxa"/>
                  <w:left w:w="108" w:type="dxa"/>
                  <w:bottom w:w="0" w:type="dxa"/>
                  <w:right w:w="108" w:type="dxa"/>
                </w:tblCellMar>
              </w:tblPrEx>
              <w:trPr>
                <w:jc w:val="center"/>
              </w:trPr>
              <w:tc>
                <w:tcPr>
                  <w:tcW w:w="2304" w:type="dxa"/>
                </w:tcPr>
                <w:p w14:paraId="1E7FE951">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采购编号</w:t>
                  </w:r>
                  <w:r>
                    <w:rPr>
                      <w:rFonts w:hint="eastAsia" w:ascii="宋体" w:hAnsi="宋体" w:eastAsia="宋体" w:cs="宋体"/>
                      <w:b/>
                      <w:bCs/>
                      <w:color w:val="auto"/>
                      <w:sz w:val="30"/>
                      <w:szCs w:val="30"/>
                      <w:highlight w:val="none"/>
                      <w:lang w:eastAsia="zh-CN"/>
                    </w:rPr>
                    <w:t>：</w:t>
                  </w:r>
                </w:p>
              </w:tc>
              <w:tc>
                <w:tcPr>
                  <w:tcW w:w="4803" w:type="dxa"/>
                </w:tcPr>
                <w:p w14:paraId="4F2D2632">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PYCG260608076</w:t>
                  </w:r>
                </w:p>
              </w:tc>
            </w:tr>
            <w:tr w14:paraId="1A6FEAC9">
              <w:tblPrEx>
                <w:tblCellMar>
                  <w:top w:w="0" w:type="dxa"/>
                  <w:left w:w="108" w:type="dxa"/>
                  <w:bottom w:w="0" w:type="dxa"/>
                  <w:right w:w="108" w:type="dxa"/>
                </w:tblCellMar>
              </w:tblPrEx>
              <w:trPr>
                <w:jc w:val="center"/>
              </w:trPr>
              <w:tc>
                <w:tcPr>
                  <w:tcW w:w="2304" w:type="dxa"/>
                </w:tcPr>
                <w:p w14:paraId="57C5845D">
                  <w:pPr>
                    <w:spacing w:line="360" w:lineRule="auto"/>
                    <w:jc w:val="distribute"/>
                    <w:rPr>
                      <w:rFonts w:hint="eastAsia" w:ascii="宋体" w:hAnsi="宋体" w:eastAsia="宋体" w:cs="宋体"/>
                      <w:b/>
                      <w:bCs/>
                      <w:color w:val="auto"/>
                      <w:sz w:val="30"/>
                      <w:szCs w:val="30"/>
                      <w:highlight w:val="none"/>
                    </w:rPr>
                  </w:pPr>
                </w:p>
              </w:tc>
              <w:tc>
                <w:tcPr>
                  <w:tcW w:w="4803" w:type="dxa"/>
                </w:tcPr>
                <w:p w14:paraId="6DEA5854">
                  <w:pPr>
                    <w:spacing w:line="360" w:lineRule="auto"/>
                    <w:jc w:val="left"/>
                    <w:rPr>
                      <w:rFonts w:hint="eastAsia" w:ascii="宋体" w:hAnsi="宋体" w:eastAsia="宋体" w:cs="宋体"/>
                      <w:b/>
                      <w:bCs/>
                      <w:color w:val="auto"/>
                      <w:sz w:val="30"/>
                      <w:szCs w:val="30"/>
                      <w:highlight w:val="none"/>
                    </w:rPr>
                  </w:pPr>
                </w:p>
              </w:tc>
            </w:tr>
            <w:tr w14:paraId="61EC6AEF">
              <w:tblPrEx>
                <w:tblCellMar>
                  <w:top w:w="0" w:type="dxa"/>
                  <w:left w:w="108" w:type="dxa"/>
                  <w:bottom w:w="0" w:type="dxa"/>
                  <w:right w:w="108" w:type="dxa"/>
                </w:tblCellMar>
              </w:tblPrEx>
              <w:trPr>
                <w:jc w:val="center"/>
              </w:trPr>
              <w:tc>
                <w:tcPr>
                  <w:tcW w:w="2304" w:type="dxa"/>
                </w:tcPr>
                <w:p w14:paraId="7DD1CF9A">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采购人</w:t>
                  </w:r>
                  <w:r>
                    <w:rPr>
                      <w:rFonts w:hint="eastAsia" w:ascii="宋体" w:hAnsi="宋体" w:eastAsia="宋体" w:cs="宋体"/>
                      <w:b/>
                      <w:bCs/>
                      <w:color w:val="auto"/>
                      <w:sz w:val="30"/>
                      <w:szCs w:val="30"/>
                      <w:highlight w:val="none"/>
                      <w:lang w:eastAsia="zh-CN"/>
                    </w:rPr>
                    <w:t>：</w:t>
                  </w:r>
                </w:p>
              </w:tc>
              <w:tc>
                <w:tcPr>
                  <w:tcW w:w="4803" w:type="dxa"/>
                </w:tcPr>
                <w:p w14:paraId="70A27AA4">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eastAsia="宋体" w:cs="宋体"/>
                      <w:b/>
                      <w:color w:val="auto"/>
                      <w:sz w:val="30"/>
                      <w:szCs w:val="30"/>
                      <w:highlight w:val="none"/>
                      <w:lang w:eastAsia="zh-CN"/>
                    </w:rPr>
                    <w:t>平阳县青澜酒店管理有限公司</w:t>
                  </w:r>
                </w:p>
              </w:tc>
            </w:tr>
            <w:tr w14:paraId="606C62CF">
              <w:tblPrEx>
                <w:tblCellMar>
                  <w:top w:w="0" w:type="dxa"/>
                  <w:left w:w="108" w:type="dxa"/>
                  <w:bottom w:w="0" w:type="dxa"/>
                  <w:right w:w="108" w:type="dxa"/>
                </w:tblCellMar>
              </w:tblPrEx>
              <w:trPr>
                <w:jc w:val="center"/>
              </w:trPr>
              <w:tc>
                <w:tcPr>
                  <w:tcW w:w="2304" w:type="dxa"/>
                </w:tcPr>
                <w:p w14:paraId="18E35BC1">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联系人</w:t>
                  </w:r>
                  <w:r>
                    <w:rPr>
                      <w:rFonts w:hint="eastAsia" w:ascii="宋体" w:hAnsi="宋体" w:eastAsia="宋体" w:cs="宋体"/>
                      <w:b/>
                      <w:bCs/>
                      <w:color w:val="auto"/>
                      <w:sz w:val="30"/>
                      <w:szCs w:val="30"/>
                      <w:highlight w:val="none"/>
                      <w:lang w:eastAsia="zh-CN"/>
                    </w:rPr>
                    <w:t>：</w:t>
                  </w:r>
                </w:p>
              </w:tc>
              <w:tc>
                <w:tcPr>
                  <w:tcW w:w="4803" w:type="dxa"/>
                </w:tcPr>
                <w:p w14:paraId="59C29114">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陈女士</w:t>
                  </w:r>
                </w:p>
              </w:tc>
            </w:tr>
            <w:tr w14:paraId="65D78F13">
              <w:tblPrEx>
                <w:tblCellMar>
                  <w:top w:w="0" w:type="dxa"/>
                  <w:left w:w="108" w:type="dxa"/>
                  <w:bottom w:w="0" w:type="dxa"/>
                  <w:right w:w="108" w:type="dxa"/>
                </w:tblCellMar>
              </w:tblPrEx>
              <w:trPr>
                <w:jc w:val="center"/>
              </w:trPr>
              <w:tc>
                <w:tcPr>
                  <w:tcW w:w="2304" w:type="dxa"/>
                </w:tcPr>
                <w:p w14:paraId="4D1760A6">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联系电话</w:t>
                  </w:r>
                  <w:r>
                    <w:rPr>
                      <w:rFonts w:hint="eastAsia" w:ascii="宋体" w:hAnsi="宋体" w:eastAsia="宋体" w:cs="宋体"/>
                      <w:b/>
                      <w:bCs/>
                      <w:color w:val="auto"/>
                      <w:sz w:val="30"/>
                      <w:szCs w:val="30"/>
                      <w:highlight w:val="none"/>
                      <w:lang w:eastAsia="zh-CN"/>
                    </w:rPr>
                    <w:t>：</w:t>
                  </w:r>
                </w:p>
              </w:tc>
              <w:tc>
                <w:tcPr>
                  <w:tcW w:w="4803" w:type="dxa"/>
                </w:tcPr>
                <w:p w14:paraId="5BD33EB9">
                  <w:pPr>
                    <w:spacing w:line="360" w:lineRule="auto"/>
                    <w:jc w:val="left"/>
                    <w:rPr>
                      <w:rFonts w:hint="eastAsia" w:ascii="宋体" w:hAnsi="宋体" w:eastAsia="宋体" w:cs="宋体"/>
                      <w:b/>
                      <w:bCs/>
                      <w:color w:val="auto"/>
                      <w:sz w:val="30"/>
                      <w:szCs w:val="30"/>
                      <w:highlight w:val="none"/>
                      <w:lang w:eastAsia="zh-CN"/>
                    </w:rPr>
                  </w:pPr>
                  <w:r>
                    <w:rPr>
                      <w:rFonts w:hint="eastAsia" w:ascii="宋体" w:hAnsi="宋体" w:cs="宋体"/>
                      <w:b/>
                      <w:color w:val="auto"/>
                      <w:sz w:val="30"/>
                      <w:szCs w:val="30"/>
                      <w:highlight w:val="none"/>
                      <w:lang w:eastAsia="zh-CN"/>
                    </w:rPr>
                    <w:t>13645878093</w:t>
                  </w:r>
                </w:p>
              </w:tc>
            </w:tr>
            <w:tr w14:paraId="7324351A">
              <w:tblPrEx>
                <w:tblCellMar>
                  <w:top w:w="0" w:type="dxa"/>
                  <w:left w:w="108" w:type="dxa"/>
                  <w:bottom w:w="0" w:type="dxa"/>
                  <w:right w:w="108" w:type="dxa"/>
                </w:tblCellMar>
              </w:tblPrEx>
              <w:trPr>
                <w:jc w:val="center"/>
              </w:trPr>
              <w:tc>
                <w:tcPr>
                  <w:tcW w:w="2304" w:type="dxa"/>
                </w:tcPr>
                <w:p w14:paraId="384240AC">
                  <w:pPr>
                    <w:spacing w:line="360" w:lineRule="auto"/>
                    <w:jc w:val="distribute"/>
                    <w:rPr>
                      <w:rFonts w:hint="eastAsia" w:ascii="宋体" w:hAnsi="宋体" w:eastAsia="宋体" w:cs="宋体"/>
                      <w:b/>
                      <w:bCs/>
                      <w:color w:val="auto"/>
                      <w:sz w:val="30"/>
                      <w:szCs w:val="30"/>
                      <w:highlight w:val="none"/>
                    </w:rPr>
                  </w:pPr>
                </w:p>
              </w:tc>
              <w:tc>
                <w:tcPr>
                  <w:tcW w:w="4803" w:type="dxa"/>
                </w:tcPr>
                <w:p w14:paraId="3E307948">
                  <w:pPr>
                    <w:spacing w:line="360" w:lineRule="auto"/>
                    <w:jc w:val="left"/>
                    <w:rPr>
                      <w:rFonts w:hint="eastAsia" w:ascii="宋体" w:hAnsi="宋体" w:eastAsia="宋体" w:cs="宋体"/>
                      <w:b/>
                      <w:bCs/>
                      <w:color w:val="auto"/>
                      <w:sz w:val="30"/>
                      <w:szCs w:val="30"/>
                      <w:highlight w:val="none"/>
                    </w:rPr>
                  </w:pPr>
                </w:p>
              </w:tc>
            </w:tr>
            <w:tr w14:paraId="35B9C35C">
              <w:tblPrEx>
                <w:tblCellMar>
                  <w:top w:w="0" w:type="dxa"/>
                  <w:left w:w="108" w:type="dxa"/>
                  <w:bottom w:w="0" w:type="dxa"/>
                  <w:right w:w="108" w:type="dxa"/>
                </w:tblCellMar>
              </w:tblPrEx>
              <w:trPr>
                <w:jc w:val="center"/>
              </w:trPr>
              <w:tc>
                <w:tcPr>
                  <w:tcW w:w="2304" w:type="dxa"/>
                </w:tcPr>
                <w:p w14:paraId="752BE986">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采购代理机构</w:t>
                  </w:r>
                  <w:r>
                    <w:rPr>
                      <w:rFonts w:hint="eastAsia" w:ascii="宋体" w:hAnsi="宋体" w:eastAsia="宋体" w:cs="宋体"/>
                      <w:b/>
                      <w:bCs/>
                      <w:color w:val="auto"/>
                      <w:sz w:val="30"/>
                      <w:szCs w:val="30"/>
                      <w:highlight w:val="none"/>
                      <w:lang w:eastAsia="zh-CN"/>
                    </w:rPr>
                    <w:t>：</w:t>
                  </w:r>
                </w:p>
              </w:tc>
              <w:tc>
                <w:tcPr>
                  <w:tcW w:w="4803" w:type="dxa"/>
                </w:tcPr>
                <w:p w14:paraId="0CF2F8EB">
                  <w:pPr>
                    <w:spacing w:line="360" w:lineRule="auto"/>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30"/>
                      <w:highlight w:val="none"/>
                    </w:rPr>
                    <w:t>新征程（杭州）招标代理有限公司</w:t>
                  </w:r>
                </w:p>
              </w:tc>
            </w:tr>
            <w:tr w14:paraId="2BF51FBD">
              <w:tblPrEx>
                <w:tblCellMar>
                  <w:top w:w="0" w:type="dxa"/>
                  <w:left w:w="108" w:type="dxa"/>
                  <w:bottom w:w="0" w:type="dxa"/>
                  <w:right w:w="108" w:type="dxa"/>
                </w:tblCellMar>
              </w:tblPrEx>
              <w:trPr>
                <w:trHeight w:val="90" w:hRule="atLeast"/>
                <w:jc w:val="center"/>
              </w:trPr>
              <w:tc>
                <w:tcPr>
                  <w:tcW w:w="2304" w:type="dxa"/>
                </w:tcPr>
                <w:p w14:paraId="251B432D">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联系人</w:t>
                  </w:r>
                  <w:r>
                    <w:rPr>
                      <w:rFonts w:hint="eastAsia" w:ascii="宋体" w:hAnsi="宋体" w:eastAsia="宋体" w:cs="宋体"/>
                      <w:b/>
                      <w:bCs/>
                      <w:color w:val="auto"/>
                      <w:sz w:val="30"/>
                      <w:szCs w:val="30"/>
                      <w:highlight w:val="none"/>
                      <w:lang w:eastAsia="zh-CN"/>
                    </w:rPr>
                    <w:t>：</w:t>
                  </w:r>
                </w:p>
              </w:tc>
              <w:tc>
                <w:tcPr>
                  <w:tcW w:w="4803" w:type="dxa"/>
                </w:tcPr>
                <w:p w14:paraId="71E9B2DB">
                  <w:pPr>
                    <w:spacing w:line="360" w:lineRule="auto"/>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30"/>
                      <w:szCs w:val="30"/>
                      <w:highlight w:val="none"/>
                    </w:rPr>
                    <w:t>李先生</w:t>
                  </w:r>
                </w:p>
              </w:tc>
            </w:tr>
            <w:tr w14:paraId="71E2D959">
              <w:tblPrEx>
                <w:tblCellMar>
                  <w:top w:w="0" w:type="dxa"/>
                  <w:left w:w="108" w:type="dxa"/>
                  <w:bottom w:w="0" w:type="dxa"/>
                  <w:right w:w="108" w:type="dxa"/>
                </w:tblCellMar>
              </w:tblPrEx>
              <w:trPr>
                <w:jc w:val="center"/>
              </w:trPr>
              <w:tc>
                <w:tcPr>
                  <w:tcW w:w="2304" w:type="dxa"/>
                </w:tcPr>
                <w:p w14:paraId="07016CBD">
                  <w:pPr>
                    <w:spacing w:line="360" w:lineRule="auto"/>
                    <w:jc w:val="distribute"/>
                    <w:rPr>
                      <w:rFonts w:hint="eastAsia" w:ascii="宋体" w:hAnsi="宋体" w:eastAsia="宋体" w:cs="宋体"/>
                      <w:b/>
                      <w:bCs/>
                      <w:color w:val="auto"/>
                      <w:sz w:val="30"/>
                      <w:szCs w:val="30"/>
                      <w:highlight w:val="none"/>
                      <w:lang w:eastAsia="zh-CN"/>
                    </w:rPr>
                  </w:pPr>
                  <w:r>
                    <w:rPr>
                      <w:rFonts w:hint="eastAsia" w:ascii="宋体" w:hAnsi="宋体" w:eastAsia="宋体" w:cs="宋体"/>
                      <w:b/>
                      <w:bCs/>
                      <w:color w:val="auto"/>
                      <w:sz w:val="30"/>
                      <w:szCs w:val="30"/>
                      <w:highlight w:val="none"/>
                    </w:rPr>
                    <w:t>联系电话</w:t>
                  </w:r>
                  <w:r>
                    <w:rPr>
                      <w:rFonts w:hint="eastAsia" w:ascii="宋体" w:hAnsi="宋体" w:eastAsia="宋体" w:cs="宋体"/>
                      <w:b/>
                      <w:bCs/>
                      <w:color w:val="auto"/>
                      <w:sz w:val="30"/>
                      <w:szCs w:val="30"/>
                      <w:highlight w:val="none"/>
                      <w:lang w:eastAsia="zh-CN"/>
                    </w:rPr>
                    <w:t>：</w:t>
                  </w:r>
                </w:p>
              </w:tc>
              <w:tc>
                <w:tcPr>
                  <w:tcW w:w="4803" w:type="dxa"/>
                </w:tcPr>
                <w:p w14:paraId="25D24BD3">
                  <w:pPr>
                    <w:widowControl/>
                    <w:wordWrap w:val="0"/>
                    <w:snapToGrid w:val="0"/>
                    <w:spacing w:line="360" w:lineRule="auto"/>
                    <w:jc w:val="left"/>
                    <w:rPr>
                      <w:rFonts w:hint="eastAsia" w:ascii="宋体" w:hAnsi="宋体" w:eastAsia="宋体" w:cs="宋体"/>
                      <w:b/>
                      <w:bCs/>
                      <w:color w:val="auto"/>
                      <w:sz w:val="30"/>
                      <w:szCs w:val="30"/>
                      <w:highlight w:val="none"/>
                    </w:rPr>
                  </w:pPr>
                  <w:r>
                    <w:rPr>
                      <w:rFonts w:hint="eastAsia" w:ascii="宋体" w:hAnsi="宋体" w:eastAsia="宋体" w:cs="宋体"/>
                      <w:b/>
                      <w:color w:val="auto"/>
                      <w:sz w:val="30"/>
                      <w:szCs w:val="30"/>
                      <w:highlight w:val="none"/>
                    </w:rPr>
                    <w:t>13029688868</w:t>
                  </w:r>
                </w:p>
              </w:tc>
            </w:tr>
            <w:tr w14:paraId="1957174C">
              <w:tblPrEx>
                <w:tblCellMar>
                  <w:top w:w="0" w:type="dxa"/>
                  <w:left w:w="108" w:type="dxa"/>
                  <w:bottom w:w="0" w:type="dxa"/>
                  <w:right w:w="108" w:type="dxa"/>
                </w:tblCellMar>
              </w:tblPrEx>
              <w:trPr>
                <w:jc w:val="center"/>
              </w:trPr>
              <w:tc>
                <w:tcPr>
                  <w:tcW w:w="7107" w:type="dxa"/>
                  <w:gridSpan w:val="2"/>
                </w:tcPr>
                <w:p w14:paraId="086AC8E6">
                  <w:pPr>
                    <w:spacing w:line="360" w:lineRule="auto"/>
                    <w:jc w:val="center"/>
                    <w:rPr>
                      <w:rFonts w:hint="eastAsia" w:ascii="宋体" w:hAnsi="宋体" w:eastAsia="宋体" w:cs="宋体"/>
                      <w:color w:val="auto"/>
                      <w:sz w:val="30"/>
                      <w:szCs w:val="30"/>
                      <w:highlight w:val="none"/>
                    </w:rPr>
                  </w:pPr>
                  <w:r>
                    <w:rPr>
                      <w:rFonts w:hint="eastAsia" w:ascii="宋体" w:hAnsi="宋体" w:eastAsia="宋体" w:cs="宋体"/>
                      <w:b/>
                      <w:bCs/>
                      <w:color w:val="auto"/>
                      <w:sz w:val="30"/>
                      <w:szCs w:val="30"/>
                      <w:highlight w:val="none"/>
                    </w:rPr>
                    <w:t>二○二</w:t>
                  </w:r>
                  <w:r>
                    <w:rPr>
                      <w:rFonts w:hint="eastAsia" w:ascii="宋体" w:hAnsi="宋体" w:eastAsia="宋体" w:cs="宋体"/>
                      <w:b/>
                      <w:bCs/>
                      <w:color w:val="auto"/>
                      <w:sz w:val="30"/>
                      <w:szCs w:val="30"/>
                      <w:highlight w:val="none"/>
                      <w:lang w:val="en-US" w:eastAsia="zh-CN"/>
                    </w:rPr>
                    <w:t>六</w:t>
                  </w:r>
                  <w:r>
                    <w:rPr>
                      <w:rFonts w:hint="eastAsia" w:ascii="宋体" w:hAnsi="宋体" w:eastAsia="宋体" w:cs="宋体"/>
                      <w:b/>
                      <w:bCs/>
                      <w:color w:val="auto"/>
                      <w:sz w:val="30"/>
                      <w:szCs w:val="30"/>
                      <w:highlight w:val="none"/>
                    </w:rPr>
                    <w:t>年</w:t>
                  </w:r>
                  <w:r>
                    <w:rPr>
                      <w:rFonts w:hint="eastAsia" w:ascii="宋体" w:hAnsi="宋体" w:eastAsia="宋体" w:cs="宋体"/>
                      <w:b/>
                      <w:bCs/>
                      <w:color w:val="auto"/>
                      <w:sz w:val="30"/>
                      <w:szCs w:val="30"/>
                      <w:highlight w:val="none"/>
                      <w:lang w:val="en-US" w:eastAsia="zh-CN"/>
                    </w:rPr>
                    <w:t>六</w:t>
                  </w:r>
                  <w:r>
                    <w:rPr>
                      <w:rFonts w:hint="eastAsia" w:ascii="宋体" w:hAnsi="宋体" w:eastAsia="宋体" w:cs="宋体"/>
                      <w:b/>
                      <w:bCs/>
                      <w:color w:val="auto"/>
                      <w:sz w:val="30"/>
                      <w:szCs w:val="30"/>
                      <w:highlight w:val="none"/>
                    </w:rPr>
                    <w:t>月</w:t>
                  </w:r>
                </w:p>
              </w:tc>
            </w:tr>
          </w:tbl>
          <w:p w14:paraId="3A5B044E">
            <w:pPr>
              <w:wordWrap w:val="0"/>
              <w:spacing w:line="360" w:lineRule="auto"/>
              <w:jc w:val="center"/>
              <w:rPr>
                <w:rFonts w:hint="eastAsia" w:ascii="宋体" w:hAnsi="宋体" w:eastAsia="宋体" w:cs="宋体"/>
                <w:b/>
                <w:color w:val="auto"/>
                <w:sz w:val="84"/>
                <w:highlight w:val="none"/>
              </w:rPr>
            </w:pPr>
          </w:p>
        </w:tc>
      </w:tr>
    </w:tbl>
    <w:p w14:paraId="36599B92">
      <w:pPr>
        <w:wordWrap w:val="0"/>
        <w:spacing w:line="360" w:lineRule="auto"/>
        <w:rPr>
          <w:rFonts w:hint="eastAsia" w:ascii="宋体" w:hAnsi="宋体" w:eastAsia="宋体" w:cs="宋体"/>
          <w:color w:val="auto"/>
          <w:highlight w:val="none"/>
        </w:rPr>
        <w:sectPr>
          <w:pgSz w:w="11906" w:h="16838"/>
          <w:pgMar w:top="1440" w:right="1622" w:bottom="1440" w:left="1287" w:header="851" w:footer="992" w:gutter="0"/>
          <w:pgNumType w:start="0"/>
          <w:cols w:space="720" w:num="1"/>
          <w:docGrid w:linePitch="312" w:charSpace="0"/>
        </w:sectPr>
      </w:pPr>
    </w:p>
    <w:p w14:paraId="245D1B14">
      <w:pPr>
        <w:widowControl/>
        <w:tabs>
          <w:tab w:val="left" w:pos="2019"/>
        </w:tabs>
        <w:wordWrap w:val="0"/>
        <w:spacing w:line="360" w:lineRule="auto"/>
        <w:jc w:val="center"/>
        <w:rPr>
          <w:rFonts w:hint="eastAsia" w:ascii="宋体" w:hAnsi="宋体" w:eastAsia="宋体" w:cs="宋体"/>
          <w:b/>
          <w:bCs/>
          <w:color w:val="auto"/>
          <w:kern w:val="0"/>
          <w:sz w:val="28"/>
          <w:szCs w:val="28"/>
          <w:highlight w:val="none"/>
        </w:rPr>
        <w:sectPr>
          <w:footerReference r:id="rId3" w:type="default"/>
          <w:pgSz w:w="11906" w:h="16838"/>
          <w:pgMar w:top="1440" w:right="1080" w:bottom="1440" w:left="1080" w:header="851" w:footer="992" w:gutter="0"/>
          <w:pgNumType w:start="1"/>
          <w:cols w:space="720" w:num="1"/>
          <w:docGrid w:linePitch="312" w:charSpace="0"/>
        </w:sectPr>
      </w:pPr>
      <w:bookmarkStart w:id="0" w:name="OLE_LINK3"/>
      <w:bookmarkStart w:id="1" w:name="OLE_LINK2"/>
      <w:bookmarkStart w:id="2" w:name="OLE_LINK1"/>
    </w:p>
    <w:p w14:paraId="4F986273">
      <w:pPr>
        <w:widowControl/>
        <w:tabs>
          <w:tab w:val="left" w:pos="2019"/>
        </w:tabs>
        <w:wordWrap w:val="0"/>
        <w:spacing w:line="360" w:lineRule="auto"/>
        <w:jc w:val="center"/>
        <w:rPr>
          <w:rFonts w:hint="eastAsia" w:ascii="宋体" w:hAnsi="宋体" w:eastAsia="宋体" w:cs="宋体"/>
          <w:b/>
          <w:bCs/>
          <w:color w:val="auto"/>
          <w:kern w:val="0"/>
          <w:sz w:val="28"/>
          <w:szCs w:val="28"/>
          <w:highlight w:val="none"/>
        </w:rPr>
      </w:pPr>
      <w:r>
        <w:rPr>
          <w:rFonts w:hint="eastAsia" w:ascii="宋体" w:hAnsi="宋体" w:eastAsia="宋体" w:cs="宋体"/>
          <w:b/>
          <w:bCs/>
          <w:color w:val="auto"/>
          <w:kern w:val="0"/>
          <w:sz w:val="28"/>
          <w:szCs w:val="28"/>
          <w:highlight w:val="none"/>
        </w:rPr>
        <w:t>新征程（杭州）招标代理有限公司关于</w:t>
      </w:r>
      <w:r>
        <w:rPr>
          <w:rFonts w:hint="eastAsia" w:ascii="宋体" w:hAnsi="宋体" w:cs="宋体"/>
          <w:b/>
          <w:bCs/>
          <w:color w:val="auto"/>
          <w:kern w:val="0"/>
          <w:sz w:val="28"/>
          <w:szCs w:val="28"/>
          <w:highlight w:val="none"/>
          <w:lang w:eastAsia="zh-CN"/>
        </w:rPr>
        <w:t>2026年度采购雁荡山君澜度假酒店液化天然气（LNG）、运输及天然气站维护服务采购</w:t>
      </w:r>
      <w:r>
        <w:rPr>
          <w:rFonts w:hint="eastAsia" w:ascii="宋体" w:hAnsi="宋体" w:eastAsia="宋体" w:cs="宋体"/>
          <w:b/>
          <w:bCs/>
          <w:color w:val="auto"/>
          <w:kern w:val="0"/>
          <w:sz w:val="28"/>
          <w:szCs w:val="28"/>
          <w:highlight w:val="none"/>
        </w:rPr>
        <w:t>的公开招标公告</w:t>
      </w:r>
    </w:p>
    <w:p w14:paraId="5CE8793D">
      <w:pPr>
        <w:tabs>
          <w:tab w:val="left" w:pos="0"/>
        </w:tabs>
        <w:wordWrap w:val="0"/>
        <w:spacing w:line="360" w:lineRule="auto"/>
        <w:ind w:left="2" w:firstLine="2"/>
        <w:jc w:val="center"/>
        <w:rPr>
          <w:rFonts w:hint="eastAsia" w:ascii="宋体" w:hAnsi="宋体" w:eastAsia="宋体" w:cs="宋体"/>
          <w:color w:val="auto"/>
          <w:sz w:val="20"/>
          <w:szCs w:val="22"/>
          <w:highlight w:val="none"/>
        </w:rPr>
      </w:pPr>
      <w:r>
        <w:rPr>
          <w:rFonts w:hint="eastAsia" w:ascii="宋体" w:hAnsi="宋体" w:eastAsia="宋体" w:cs="宋体"/>
          <w:b/>
          <w:bCs/>
          <w:color w:val="auto"/>
          <w:sz w:val="28"/>
          <w:szCs w:val="28"/>
          <w:highlight w:val="none"/>
        </w:rPr>
        <w:t>（线上电子招投标）</w:t>
      </w:r>
    </w:p>
    <w:p w14:paraId="5669C98E">
      <w:pPr>
        <w:widowControl/>
        <w:tabs>
          <w:tab w:val="left" w:pos="2019"/>
        </w:tabs>
        <w:wordWrap w:val="0"/>
        <w:spacing w:line="360" w:lineRule="auto"/>
        <w:ind w:left="2778" w:leftChars="1" w:hanging="2776" w:hangingChars="1152"/>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公告日期</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20</w:t>
      </w: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年</w:t>
      </w:r>
      <w:r>
        <w:rPr>
          <w:rFonts w:hint="eastAsia" w:ascii="宋体" w:hAnsi="宋体" w:cs="宋体"/>
          <w:b/>
          <w:color w:val="auto"/>
          <w:sz w:val="24"/>
          <w:highlight w:val="none"/>
          <w:lang w:val="en-US" w:eastAsia="zh-CN"/>
        </w:rPr>
        <w:t>6</w:t>
      </w:r>
      <w:r>
        <w:rPr>
          <w:rFonts w:hint="eastAsia" w:ascii="宋体" w:hAnsi="宋体" w:eastAsia="宋体" w:cs="宋体"/>
          <w:b/>
          <w:color w:val="auto"/>
          <w:sz w:val="24"/>
          <w:highlight w:val="none"/>
          <w:lang w:val="en-US" w:eastAsia="zh-CN"/>
        </w:rPr>
        <w:t>月</w:t>
      </w:r>
      <w:r>
        <w:rPr>
          <w:rFonts w:hint="eastAsia" w:ascii="宋体" w:hAnsi="宋体" w:cs="宋体"/>
          <w:b/>
          <w:color w:val="auto"/>
          <w:sz w:val="24"/>
          <w:highlight w:val="none"/>
          <w:lang w:val="en-US" w:eastAsia="zh-CN"/>
        </w:rPr>
        <w:t>8</w:t>
      </w:r>
      <w:r>
        <w:rPr>
          <w:rFonts w:hint="eastAsia" w:ascii="宋体" w:hAnsi="宋体" w:eastAsia="宋体" w:cs="宋体"/>
          <w:b/>
          <w:color w:val="auto"/>
          <w:sz w:val="24"/>
          <w:highlight w:val="none"/>
          <w:lang w:val="en-US" w:eastAsia="zh-CN"/>
        </w:rPr>
        <w:t>日</w:t>
      </w:r>
    </w:p>
    <w:p w14:paraId="475609FC">
      <w:pPr>
        <w:pStyle w:val="24"/>
        <w:wordWrap w:val="0"/>
        <w:spacing w:before="0" w:beforeAutospacing="0" w:after="0" w:afterAutospacing="0" w:line="360" w:lineRule="auto"/>
        <w:jc w:val="both"/>
        <w:rPr>
          <w:rFonts w:hint="eastAsia" w:ascii="宋体" w:hAnsi="宋体" w:eastAsia="宋体" w:cs="宋体"/>
          <w:color w:val="auto"/>
          <w:highlight w:val="none"/>
        </w:rPr>
      </w:pPr>
      <w:r>
        <w:rPr>
          <w:rFonts w:hint="eastAsia" w:ascii="宋体" w:hAnsi="宋体" w:eastAsia="宋体" w:cs="宋体"/>
          <w:b/>
          <w:color w:val="auto"/>
          <w:sz w:val="22"/>
          <w:szCs w:val="22"/>
          <w:highlight w:val="none"/>
          <w:shd w:val="clear" w:color="auto" w:fill="FFFFFF"/>
        </w:rPr>
        <w:t>项目概况</w:t>
      </w:r>
    </w:p>
    <w:p w14:paraId="647B41EF">
      <w:pPr>
        <w:pStyle w:val="24"/>
        <w:wordWrap w:val="0"/>
        <w:spacing w:before="0" w:beforeAutospacing="0" w:after="0" w:afterAutospacing="0" w:line="360" w:lineRule="auto"/>
        <w:ind w:firstLine="440"/>
        <w:rPr>
          <w:rFonts w:hint="eastAsia" w:ascii="宋体" w:hAnsi="宋体" w:eastAsia="宋体" w:cs="宋体"/>
          <w:color w:val="auto"/>
          <w:highlight w:val="none"/>
        </w:rPr>
      </w:pPr>
      <w:r>
        <w:rPr>
          <w:rFonts w:hint="eastAsia" w:ascii="宋体" w:hAnsi="宋体" w:cs="宋体"/>
          <w:color w:val="auto"/>
          <w:sz w:val="22"/>
          <w:szCs w:val="22"/>
          <w:highlight w:val="none"/>
          <w:shd w:val="clear" w:color="auto" w:fill="FFFFFF"/>
          <w:lang w:eastAsia="zh-CN"/>
        </w:rPr>
        <w:t>2026年度采购雁荡山君澜度假酒店液化天然气（LNG）、运输及天然气站维护服务采购</w:t>
      </w:r>
      <w:r>
        <w:rPr>
          <w:rFonts w:hint="eastAsia" w:ascii="宋体" w:hAnsi="宋体" w:eastAsia="宋体" w:cs="宋体"/>
          <w:color w:val="auto"/>
          <w:sz w:val="22"/>
          <w:szCs w:val="22"/>
          <w:highlight w:val="none"/>
          <w:shd w:val="clear" w:color="auto" w:fill="FFFFFF"/>
        </w:rPr>
        <w:t>招标项目的潜在投标供应商登录乐采云平台https://www.lecaiyun.com/在线申请获取采购文件（进入“项目采购”应用，在获取采购文件菜单中选择项目，申请获取采购文件）获取采购文件，并于</w:t>
      </w:r>
      <w:r>
        <w:rPr>
          <w:rFonts w:hint="eastAsia" w:ascii="宋体" w:hAnsi="宋体" w:eastAsia="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lang w:val="en-US" w:eastAsia="zh-CN"/>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eastAsia="宋体" w:cs="宋体"/>
          <w:color w:val="auto"/>
          <w:sz w:val="22"/>
          <w:szCs w:val="22"/>
          <w:highlight w:val="none"/>
          <w:shd w:val="clear" w:color="auto" w:fill="FFFFFF"/>
          <w:lang w:val="en-US" w:eastAsia="zh-CN"/>
        </w:rPr>
        <w:t>日</w:t>
      </w:r>
      <w:r>
        <w:rPr>
          <w:rFonts w:hint="eastAsia" w:ascii="宋体" w:hAnsi="宋体" w:eastAsia="宋体" w:cs="宋体"/>
          <w:color w:val="auto"/>
          <w:sz w:val="22"/>
          <w:szCs w:val="22"/>
          <w:highlight w:val="none"/>
          <w:shd w:val="clear" w:color="auto" w:fill="FFFFFF"/>
        </w:rPr>
        <w:t>09:30（北京时间）前递交投标文件。</w:t>
      </w:r>
    </w:p>
    <w:p w14:paraId="497C0152">
      <w:pPr>
        <w:pStyle w:val="24"/>
        <w:wordWrap w:val="0"/>
        <w:spacing w:before="0" w:beforeAutospacing="0" w:after="0" w:afterAutospacing="0" w:line="360" w:lineRule="auto"/>
        <w:rPr>
          <w:rFonts w:hint="eastAsia" w:ascii="宋体" w:hAnsi="宋体" w:eastAsia="宋体" w:cs="宋体"/>
          <w:color w:val="auto"/>
          <w:highlight w:val="none"/>
        </w:rPr>
      </w:pPr>
      <w:r>
        <w:rPr>
          <w:rFonts w:hint="eastAsia" w:ascii="宋体" w:hAnsi="宋体" w:eastAsia="宋体" w:cs="宋体"/>
          <w:b/>
          <w:color w:val="auto"/>
          <w:sz w:val="22"/>
          <w:szCs w:val="22"/>
          <w:highlight w:val="none"/>
          <w:shd w:val="clear" w:color="auto" w:fill="FFFFFF"/>
        </w:rPr>
        <w:t xml:space="preserve">一、项目基本情况  </w:t>
      </w:r>
    </w:p>
    <w:p w14:paraId="6F88F738">
      <w:pPr>
        <w:pStyle w:val="24"/>
        <w:wordWrap w:val="0"/>
        <w:spacing w:before="0" w:beforeAutospacing="0" w:after="0" w:afterAutospacing="0" w:line="360" w:lineRule="auto"/>
        <w:ind w:firstLine="440"/>
        <w:rPr>
          <w:rFonts w:hint="eastAsia" w:ascii="宋体" w:hAnsi="宋体" w:eastAsia="宋体" w:cs="宋体"/>
          <w:color w:val="auto"/>
          <w:highlight w:val="none"/>
        </w:rPr>
      </w:pPr>
      <w:r>
        <w:rPr>
          <w:rFonts w:hint="eastAsia" w:ascii="宋体" w:hAnsi="宋体" w:eastAsia="宋体" w:cs="宋体"/>
          <w:color w:val="auto"/>
          <w:sz w:val="22"/>
          <w:szCs w:val="22"/>
          <w:highlight w:val="none"/>
          <w:shd w:val="clear" w:color="auto" w:fill="FFFFFF"/>
        </w:rPr>
        <w:t>项目编号</w:t>
      </w:r>
      <w:r>
        <w:rPr>
          <w:rFonts w:hint="eastAsia" w:ascii="宋体" w:hAnsi="宋体" w:eastAsia="宋体" w:cs="宋体"/>
          <w:color w:val="auto"/>
          <w:sz w:val="22"/>
          <w:szCs w:val="22"/>
          <w:highlight w:val="none"/>
          <w:shd w:val="clear" w:color="auto" w:fill="FFFFFF"/>
          <w:lang w:eastAsia="zh-CN"/>
        </w:rPr>
        <w:t>：</w:t>
      </w:r>
      <w:r>
        <w:rPr>
          <w:rFonts w:hint="eastAsia" w:ascii="宋体" w:hAnsi="宋体" w:cs="宋体"/>
          <w:color w:val="auto"/>
          <w:sz w:val="22"/>
          <w:szCs w:val="22"/>
          <w:highlight w:val="none"/>
          <w:lang w:eastAsia="zh-CN"/>
        </w:rPr>
        <w:t>PYCG260608076</w:t>
      </w:r>
      <w:r>
        <w:rPr>
          <w:rFonts w:hint="eastAsia" w:ascii="宋体" w:hAnsi="宋体" w:eastAsia="宋体" w:cs="宋体"/>
          <w:color w:val="auto"/>
          <w:sz w:val="22"/>
          <w:szCs w:val="22"/>
          <w:highlight w:val="none"/>
        </w:rPr>
        <w:t xml:space="preserve">   </w:t>
      </w:r>
    </w:p>
    <w:p w14:paraId="1BA758B5">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sz w:val="22"/>
          <w:szCs w:val="22"/>
          <w:highlight w:val="none"/>
          <w:shd w:val="clear" w:color="auto" w:fill="FFFFFF"/>
        </w:rPr>
        <w:t>项目名称</w:t>
      </w:r>
      <w:r>
        <w:rPr>
          <w:rFonts w:hint="eastAsia" w:ascii="宋体" w:hAnsi="宋体" w:eastAsia="宋体" w:cs="宋体"/>
          <w:color w:val="auto"/>
          <w:sz w:val="22"/>
          <w:szCs w:val="22"/>
          <w:highlight w:val="none"/>
          <w:shd w:val="clear" w:color="auto" w:fill="FFFFFF"/>
          <w:lang w:eastAsia="zh-CN"/>
        </w:rPr>
        <w:t>：</w:t>
      </w:r>
      <w:r>
        <w:rPr>
          <w:rFonts w:hint="eastAsia" w:ascii="宋体" w:hAnsi="宋体" w:cs="宋体"/>
          <w:color w:val="auto"/>
          <w:sz w:val="22"/>
          <w:szCs w:val="22"/>
          <w:highlight w:val="none"/>
          <w:shd w:val="clear" w:color="auto" w:fill="FFFFFF"/>
          <w:lang w:eastAsia="zh-CN"/>
        </w:rPr>
        <w:t>2026年度采购雁荡山君澜度假酒店液化天然气（LNG）、运输及天然气站维护服务采购</w:t>
      </w:r>
    </w:p>
    <w:p w14:paraId="493376EF">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sz w:val="22"/>
          <w:szCs w:val="22"/>
          <w:highlight w:val="none"/>
          <w:shd w:val="clear" w:color="auto" w:fill="FFFFFF"/>
        </w:rPr>
        <w:t>预算金额（元）</w:t>
      </w:r>
      <w:r>
        <w:rPr>
          <w:rFonts w:hint="eastAsia" w:ascii="宋体" w:hAnsi="宋体" w:eastAsia="宋体" w:cs="宋体"/>
          <w:color w:val="auto"/>
          <w:sz w:val="22"/>
          <w:szCs w:val="22"/>
          <w:highlight w:val="none"/>
          <w:shd w:val="clear" w:color="auto" w:fill="FFFFFF"/>
          <w:lang w:eastAsia="zh-CN"/>
        </w:rPr>
        <w:t>：</w:t>
      </w:r>
      <w:r>
        <w:rPr>
          <w:rFonts w:hint="eastAsia" w:ascii="宋体" w:hAnsi="宋体" w:cs="宋体"/>
          <w:color w:val="auto"/>
          <w:sz w:val="22"/>
          <w:szCs w:val="22"/>
          <w:highlight w:val="none"/>
          <w:shd w:val="clear" w:color="auto" w:fill="FFFFFF"/>
          <w:lang w:eastAsia="zh-CN"/>
        </w:rPr>
        <w:t>3474000</w:t>
      </w:r>
    </w:p>
    <w:p w14:paraId="6746DB6A">
      <w:pPr>
        <w:pStyle w:val="24"/>
        <w:wordWrap w:val="0"/>
        <w:spacing w:before="0" w:beforeAutospacing="0" w:after="0" w:afterAutospacing="0" w:line="360" w:lineRule="auto"/>
        <w:ind w:firstLine="440"/>
        <w:rPr>
          <w:rFonts w:hint="eastAsia" w:ascii="宋体" w:hAnsi="宋体" w:eastAsia="宋体" w:cs="宋体"/>
          <w:color w:val="auto"/>
          <w:highlight w:val="none"/>
          <w:lang w:eastAsia="zh-CN"/>
        </w:rPr>
      </w:pPr>
      <w:r>
        <w:rPr>
          <w:rFonts w:hint="eastAsia" w:ascii="宋体" w:hAnsi="宋体" w:eastAsia="宋体" w:cs="宋体"/>
          <w:color w:val="auto"/>
          <w:sz w:val="22"/>
          <w:szCs w:val="22"/>
          <w:highlight w:val="none"/>
          <w:shd w:val="clear" w:color="auto" w:fill="FFFFFF"/>
        </w:rPr>
        <w:t>最高限价（元）</w:t>
      </w:r>
      <w:r>
        <w:rPr>
          <w:rFonts w:hint="eastAsia" w:ascii="宋体" w:hAnsi="宋体" w:eastAsia="宋体" w:cs="宋体"/>
          <w:color w:val="auto"/>
          <w:sz w:val="22"/>
          <w:szCs w:val="22"/>
          <w:highlight w:val="none"/>
          <w:shd w:val="clear" w:color="auto" w:fill="FFFFFF"/>
          <w:lang w:eastAsia="zh-CN"/>
        </w:rPr>
        <w:t>：</w:t>
      </w:r>
    </w:p>
    <w:p w14:paraId="34CFA25F">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color w:val="auto"/>
          <w:sz w:val="22"/>
          <w:szCs w:val="22"/>
          <w:highlight w:val="none"/>
          <w:shd w:val="clear" w:color="auto" w:fill="FFFFFF"/>
        </w:rPr>
        <w:t>采购需求</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lang w:val="en-US" w:eastAsia="zh-CN"/>
        </w:rPr>
        <w:t>详见采购文件。</w:t>
      </w:r>
    </w:p>
    <w:p w14:paraId="5DBE6D2E">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备注</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lang w:val="en-US" w:eastAsia="zh-CN"/>
        </w:rPr>
        <w:t>本项目采用</w:t>
      </w:r>
      <w:r>
        <w:rPr>
          <w:rFonts w:hint="eastAsia" w:ascii="宋体" w:hAnsi="宋体" w:cs="宋体"/>
          <w:color w:val="auto"/>
          <w:sz w:val="22"/>
          <w:szCs w:val="22"/>
          <w:highlight w:val="none"/>
          <w:shd w:val="clear" w:color="auto" w:fill="FFFFFF"/>
          <w:lang w:val="en-US" w:eastAsia="zh-CN"/>
        </w:rPr>
        <w:t>折扣率</w:t>
      </w:r>
      <w:r>
        <w:rPr>
          <w:rFonts w:hint="eastAsia" w:ascii="宋体" w:hAnsi="宋体" w:eastAsia="宋体" w:cs="宋体"/>
          <w:color w:val="auto"/>
          <w:sz w:val="22"/>
          <w:szCs w:val="22"/>
          <w:highlight w:val="none"/>
          <w:shd w:val="clear" w:color="auto" w:fill="FFFFFF"/>
          <w:lang w:val="en-US" w:eastAsia="zh-CN"/>
        </w:rPr>
        <w:t>形式进行报价，并按实结算。单个合同期内达到预算金额，合同自动终止。</w:t>
      </w:r>
      <w:r>
        <w:rPr>
          <w:rFonts w:hint="eastAsia" w:ascii="宋体" w:hAnsi="宋体" w:eastAsia="宋体" w:cs="宋体"/>
          <w:color w:val="auto"/>
          <w:sz w:val="22"/>
          <w:szCs w:val="22"/>
          <w:highlight w:val="none"/>
          <w:shd w:val="clear" w:color="auto" w:fill="FFFFFF"/>
        </w:rPr>
        <w:t xml:space="preserve"> </w:t>
      </w:r>
    </w:p>
    <w:p w14:paraId="7EBEFC44">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合同履约期限</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合同签订生效之日起至服务期结束。</w:t>
      </w:r>
    </w:p>
    <w:p w14:paraId="182F4619">
      <w:pPr>
        <w:pStyle w:val="24"/>
        <w:wordWrap w:val="0"/>
        <w:spacing w:before="0" w:beforeAutospacing="0" w:after="0" w:afterAutospacing="0" w:line="360" w:lineRule="auto"/>
        <w:ind w:firstLine="440"/>
        <w:rPr>
          <w:rFonts w:hint="eastAsia" w:ascii="宋体" w:hAnsi="宋体" w:eastAsia="宋体" w:cs="宋体"/>
          <w:b/>
          <w:bCs/>
          <w:color w:val="auto"/>
          <w:sz w:val="22"/>
          <w:szCs w:val="22"/>
          <w:highlight w:val="none"/>
          <w:shd w:val="clear" w:color="auto" w:fill="FFFFFF"/>
        </w:rPr>
      </w:pPr>
      <w:r>
        <w:rPr>
          <w:rFonts w:hint="eastAsia" w:ascii="宋体" w:hAnsi="宋体" w:eastAsia="宋体" w:cs="宋体"/>
          <w:b/>
          <w:bCs/>
          <w:color w:val="auto"/>
          <w:sz w:val="22"/>
          <w:szCs w:val="22"/>
          <w:highlight w:val="none"/>
          <w:shd w:val="clear" w:color="auto" w:fill="FFFFFF"/>
        </w:rPr>
        <w:t>本项目</w:t>
      </w:r>
      <w:r>
        <w:rPr>
          <w:rFonts w:hint="eastAsia" w:ascii="宋体" w:hAnsi="宋体" w:eastAsia="宋体" w:cs="宋体"/>
          <w:b/>
          <w:bCs/>
          <w:color w:val="auto"/>
          <w:sz w:val="22"/>
          <w:szCs w:val="22"/>
          <w:highlight w:val="none"/>
          <w:shd w:val="clear" w:color="auto" w:fill="FFFFFF"/>
          <w:lang w:val="en-US" w:eastAsia="zh-CN"/>
        </w:rPr>
        <w:t>不</w:t>
      </w:r>
      <w:r>
        <w:rPr>
          <w:rFonts w:hint="eastAsia" w:ascii="宋体" w:hAnsi="宋体" w:eastAsia="宋体" w:cs="宋体"/>
          <w:b/>
          <w:bCs/>
          <w:color w:val="auto"/>
          <w:sz w:val="22"/>
          <w:szCs w:val="22"/>
          <w:highlight w:val="none"/>
          <w:shd w:val="clear" w:color="auto" w:fill="FFFFFF"/>
        </w:rPr>
        <w:t>接受联合体投标。</w:t>
      </w:r>
    </w:p>
    <w:p w14:paraId="634FFC7E">
      <w:pPr>
        <w:pStyle w:val="24"/>
        <w:wordWrap w:val="0"/>
        <w:spacing w:before="0" w:beforeAutospacing="0" w:after="0" w:afterAutospacing="0" w:line="360" w:lineRule="auto"/>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sz w:val="22"/>
          <w:szCs w:val="22"/>
          <w:highlight w:val="none"/>
          <w:shd w:val="clear" w:color="auto" w:fill="FFFFFF"/>
        </w:rPr>
        <w:t>二、申请人的资格要求</w:t>
      </w:r>
    </w:p>
    <w:p w14:paraId="321EEDF2">
      <w:pPr>
        <w:wordWrap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满足《平阳县县属国有企业采购管理办法（试行）》第十四条规定；未被“信用中国”（www.creditchina.gov.cn)、中国政府采购网（www.ccgp.gov.cn）列入失信被执行人、重大税收违法案件当事人名单、政府采购严重违法失信行为记录名单。</w:t>
      </w:r>
    </w:p>
    <w:p w14:paraId="1DC40196">
      <w:pPr>
        <w:wordWrap w:val="0"/>
        <w:spacing w:line="360" w:lineRule="auto"/>
        <w:ind w:firstLine="220" w:firstLineChars="1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2.落实政府采购政策需满足的资格要求</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无</w:t>
      </w:r>
    </w:p>
    <w:p w14:paraId="345F001E">
      <w:pPr>
        <w:wordWrap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3.特定资格要求</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1）</w:t>
      </w:r>
      <w:r>
        <w:rPr>
          <w:rFonts w:hint="eastAsia" w:ascii="宋体" w:hAnsi="宋体" w:eastAsia="宋体" w:cs="宋体"/>
          <w:color w:val="auto"/>
          <w:sz w:val="22"/>
          <w:szCs w:val="22"/>
          <w:highlight w:val="none"/>
        </w:rPr>
        <w:t>须具有应急管理局颁发的《危险化学品经营许可证》（许可范围：天然气）；</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2）</w:t>
      </w:r>
      <w:r>
        <w:rPr>
          <w:rFonts w:hint="eastAsia" w:ascii="宋体" w:hAnsi="宋体" w:eastAsia="宋体" w:cs="宋体"/>
          <w:color w:val="auto"/>
          <w:sz w:val="22"/>
          <w:szCs w:val="22"/>
          <w:highlight w:val="none"/>
        </w:rPr>
        <w:t>自行运输或委托第三方运输，须具备由道路运输管理部门颁发的《道路运输经营许可证》（经营范围：危险货物运输[2类1项]或[2.1项]）(如委托第三方运输，需提供第三方运输单位的《营业执照》和《道路运输经营许可证》外，同时还须提供与第三方运输单位的运输合同</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t>
      </w:r>
    </w:p>
    <w:p w14:paraId="512D953A">
      <w:pPr>
        <w:pStyle w:val="24"/>
        <w:wordWrap w:val="0"/>
        <w:spacing w:before="0" w:beforeAutospacing="0" w:after="0" w:afterAutospacing="0" w:line="360" w:lineRule="auto"/>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sz w:val="22"/>
          <w:szCs w:val="22"/>
          <w:highlight w:val="none"/>
          <w:shd w:val="clear" w:color="auto" w:fill="FFFFFF"/>
        </w:rPr>
        <w:t>三、获取采购文件</w:t>
      </w:r>
    </w:p>
    <w:p w14:paraId="3FFC55F5">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时间</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公告发布之日起至投标截止时间止，每天上午00:00至12:00，下午12:00至23:59（北京时间，线上获取法定节假日均可，线下获取文件法定节假日除外）</w:t>
      </w:r>
    </w:p>
    <w:p w14:paraId="27156201">
      <w:pPr>
        <w:pStyle w:val="24"/>
        <w:wordWrap w:val="0"/>
        <w:spacing w:before="0" w:beforeAutospacing="0" w:after="0" w:afterAutospacing="0" w:line="360" w:lineRule="auto"/>
        <w:ind w:firstLine="440"/>
        <w:rPr>
          <w:rFonts w:hint="eastAsia" w:ascii="宋体" w:hAnsi="宋体" w:eastAsia="宋体" w:cs="宋体"/>
          <w:color w:val="auto"/>
          <w:highlight w:val="none"/>
        </w:rPr>
      </w:pPr>
      <w:r>
        <w:rPr>
          <w:rFonts w:hint="eastAsia" w:ascii="宋体" w:hAnsi="宋体" w:eastAsia="宋体" w:cs="宋体"/>
          <w:color w:val="auto"/>
          <w:sz w:val="22"/>
          <w:szCs w:val="22"/>
          <w:highlight w:val="none"/>
          <w:shd w:val="clear" w:color="auto" w:fill="FFFFFF"/>
        </w:rPr>
        <w:t>地点（网址）</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乐采云平台（https://www.lecaiyun.com/）；</w:t>
      </w:r>
    </w:p>
    <w:p w14:paraId="306A28F0">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方式</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供应商登录乐采云平台https://www.lecaiyun.com/在线申请获取采购文件（进入“项目采购”应用，在获取采购文件菜单中选择项目，申请获取采购文件）；</w:t>
      </w:r>
    </w:p>
    <w:p w14:paraId="658C45DF">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售价（元）</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500元。</w:t>
      </w:r>
    </w:p>
    <w:p w14:paraId="1A8B44EA">
      <w:pPr>
        <w:pStyle w:val="24"/>
        <w:wordWrap w:val="0"/>
        <w:spacing w:before="0" w:beforeAutospacing="0" w:after="0" w:afterAutospacing="0" w:line="360" w:lineRule="auto"/>
        <w:rPr>
          <w:rFonts w:hint="eastAsia" w:ascii="宋体" w:hAnsi="宋体" w:eastAsia="宋体" w:cs="宋体"/>
          <w:color w:val="auto"/>
          <w:highlight w:val="none"/>
        </w:rPr>
      </w:pPr>
      <w:r>
        <w:rPr>
          <w:rFonts w:hint="eastAsia" w:ascii="宋体" w:hAnsi="宋体" w:eastAsia="宋体" w:cs="宋体"/>
          <w:b/>
          <w:color w:val="auto"/>
          <w:sz w:val="22"/>
          <w:szCs w:val="22"/>
          <w:highlight w:val="none"/>
          <w:shd w:val="clear" w:color="auto" w:fill="FFFFFF"/>
        </w:rPr>
        <w:t>四、提交投标文件截止时间、开标时间和地点</w:t>
      </w:r>
    </w:p>
    <w:p w14:paraId="71EDD438">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提交投标文件截止时间</w:t>
      </w:r>
      <w:r>
        <w:rPr>
          <w:rFonts w:hint="eastAsia" w:ascii="宋体" w:hAnsi="宋体" w:eastAsia="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lang w:val="en-US" w:eastAsia="zh-CN"/>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eastAsia="宋体" w:cs="宋体"/>
          <w:color w:val="auto"/>
          <w:sz w:val="22"/>
          <w:szCs w:val="22"/>
          <w:highlight w:val="none"/>
          <w:shd w:val="clear" w:color="auto" w:fill="FFFFFF"/>
          <w:lang w:val="en-US" w:eastAsia="zh-CN"/>
        </w:rPr>
        <w:t>日</w:t>
      </w:r>
      <w:r>
        <w:rPr>
          <w:rFonts w:hint="eastAsia" w:ascii="宋体" w:hAnsi="宋体" w:eastAsia="宋体" w:cs="宋体"/>
          <w:color w:val="auto"/>
          <w:sz w:val="22"/>
          <w:szCs w:val="22"/>
          <w:highlight w:val="none"/>
          <w:shd w:val="clear" w:color="auto" w:fill="FFFFFF"/>
        </w:rPr>
        <w:t>09:30（北京时间）</w:t>
      </w:r>
    </w:p>
    <w:p w14:paraId="4F2B2419">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投标地点（网址）</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 xml:space="preserve">乐采云平台在线投标 </w:t>
      </w:r>
    </w:p>
    <w:p w14:paraId="792CE14B">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开标时间</w:t>
      </w:r>
      <w:r>
        <w:rPr>
          <w:rFonts w:hint="eastAsia" w:ascii="宋体" w:hAnsi="宋体" w:eastAsia="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lang w:val="en-US" w:eastAsia="zh-CN"/>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eastAsia="宋体" w:cs="宋体"/>
          <w:color w:val="auto"/>
          <w:sz w:val="22"/>
          <w:szCs w:val="22"/>
          <w:highlight w:val="none"/>
          <w:shd w:val="clear" w:color="auto" w:fill="FFFFFF"/>
          <w:lang w:val="en-US" w:eastAsia="zh-CN"/>
        </w:rPr>
        <w:t>日</w:t>
      </w:r>
      <w:r>
        <w:rPr>
          <w:rFonts w:hint="eastAsia" w:ascii="宋体" w:hAnsi="宋体" w:eastAsia="宋体" w:cs="宋体"/>
          <w:color w:val="auto"/>
          <w:sz w:val="22"/>
          <w:szCs w:val="22"/>
          <w:highlight w:val="none"/>
          <w:shd w:val="clear" w:color="auto" w:fill="FFFFFF"/>
        </w:rPr>
        <w:t>09:30（北京时间）</w:t>
      </w:r>
    </w:p>
    <w:p w14:paraId="35A1CFAA">
      <w:pPr>
        <w:pStyle w:val="24"/>
        <w:wordWrap w:val="0"/>
        <w:spacing w:before="0" w:beforeAutospacing="0" w:after="0" w:afterAutospacing="0" w:line="360" w:lineRule="auto"/>
        <w:ind w:firstLine="440"/>
        <w:rPr>
          <w:rFonts w:hint="eastAsia" w:ascii="宋体" w:hAnsi="宋体" w:eastAsia="宋体" w:cs="宋体"/>
          <w:color w:val="auto"/>
          <w:sz w:val="22"/>
          <w:szCs w:val="22"/>
          <w:highlight w:val="none"/>
          <w:shd w:val="clear" w:color="auto" w:fill="FFFFFF"/>
        </w:rPr>
      </w:pPr>
      <w:r>
        <w:rPr>
          <w:rFonts w:hint="eastAsia" w:ascii="宋体" w:hAnsi="宋体" w:eastAsia="宋体" w:cs="宋体"/>
          <w:color w:val="auto"/>
          <w:sz w:val="22"/>
          <w:szCs w:val="22"/>
          <w:highlight w:val="none"/>
          <w:shd w:val="clear" w:color="auto" w:fill="FFFFFF"/>
        </w:rPr>
        <w:t>开标地点（网址）</w:t>
      </w:r>
      <w:r>
        <w:rPr>
          <w:rFonts w:hint="eastAsia" w:ascii="宋体" w:hAnsi="宋体" w:eastAsia="宋体" w:cs="宋体"/>
          <w:color w:val="auto"/>
          <w:sz w:val="22"/>
          <w:szCs w:val="22"/>
          <w:highlight w:val="none"/>
          <w:shd w:val="clear" w:color="auto" w:fill="FFFFFF"/>
          <w:lang w:eastAsia="zh-CN"/>
        </w:rPr>
        <w:t>：</w:t>
      </w:r>
      <w:r>
        <w:rPr>
          <w:rFonts w:hint="eastAsia" w:ascii="宋体" w:hAnsi="宋体" w:eastAsia="宋体" w:cs="宋体"/>
          <w:color w:val="auto"/>
          <w:sz w:val="22"/>
          <w:szCs w:val="22"/>
          <w:highlight w:val="none"/>
          <w:shd w:val="clear" w:color="auto" w:fill="FFFFFF"/>
        </w:rPr>
        <w:t>乐采云平台在线投标</w:t>
      </w:r>
    </w:p>
    <w:p w14:paraId="5BA8D276">
      <w:pPr>
        <w:pStyle w:val="24"/>
        <w:wordWrap w:val="0"/>
        <w:spacing w:before="0" w:beforeAutospacing="0" w:after="0" w:afterAutospacing="0" w:line="360" w:lineRule="auto"/>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sz w:val="22"/>
          <w:szCs w:val="22"/>
          <w:highlight w:val="none"/>
          <w:shd w:val="clear" w:color="auto" w:fill="FFFFFF"/>
        </w:rPr>
        <w:t>五、公告期限:自本公告发布之日起5个工作日</w:t>
      </w:r>
    </w:p>
    <w:p w14:paraId="1B180508">
      <w:pPr>
        <w:pStyle w:val="24"/>
        <w:wordWrap w:val="0"/>
        <w:spacing w:before="0" w:beforeAutospacing="0" w:after="0" w:afterAutospacing="0" w:line="360" w:lineRule="auto"/>
        <w:rPr>
          <w:rFonts w:hint="eastAsia" w:ascii="宋体" w:hAnsi="宋体" w:eastAsia="宋体" w:cs="宋体"/>
          <w:color w:val="auto"/>
          <w:sz w:val="22"/>
          <w:szCs w:val="22"/>
          <w:highlight w:val="none"/>
          <w:shd w:val="clear" w:color="auto" w:fill="FFFFFF"/>
          <w:lang w:eastAsia="zh-CN"/>
        </w:rPr>
      </w:pPr>
      <w:r>
        <w:rPr>
          <w:rFonts w:hint="eastAsia" w:ascii="宋体" w:hAnsi="宋体" w:eastAsia="宋体" w:cs="宋体"/>
          <w:b/>
          <w:color w:val="auto"/>
          <w:sz w:val="22"/>
          <w:szCs w:val="22"/>
          <w:highlight w:val="none"/>
          <w:shd w:val="clear" w:color="auto" w:fill="FFFFFF"/>
        </w:rPr>
        <w:t>六、投标保证金</w:t>
      </w:r>
      <w:r>
        <w:rPr>
          <w:rFonts w:hint="eastAsia" w:ascii="宋体" w:hAnsi="宋体" w:eastAsia="宋体" w:cs="宋体"/>
          <w:color w:val="auto"/>
          <w:sz w:val="22"/>
          <w:szCs w:val="22"/>
          <w:highlight w:val="none"/>
          <w:shd w:val="clear" w:color="auto" w:fill="FFFFFF"/>
          <w:lang w:eastAsia="zh-CN"/>
        </w:rPr>
        <w:t>：</w:t>
      </w:r>
    </w:p>
    <w:p w14:paraId="75854970">
      <w:pPr>
        <w:pStyle w:val="24"/>
        <w:wordWrap w:val="0"/>
        <w:spacing w:before="0" w:beforeAutospacing="0" w:after="0" w:afterAutospacing="0" w:line="360" w:lineRule="auto"/>
        <w:ind w:firstLine="442" w:firstLineChars="200"/>
        <w:rPr>
          <w:rFonts w:hint="eastAsia" w:ascii="宋体" w:hAnsi="宋体" w:eastAsia="宋体" w:cs="宋体"/>
          <w:b/>
          <w:color w:val="auto"/>
          <w:sz w:val="22"/>
          <w:szCs w:val="22"/>
          <w:highlight w:val="none"/>
          <w:shd w:val="clear" w:color="auto" w:fill="FFFFFF"/>
        </w:rPr>
      </w:pPr>
      <w:r>
        <w:rPr>
          <w:rFonts w:hint="eastAsia" w:ascii="宋体" w:hAnsi="宋体" w:eastAsia="宋体" w:cs="宋体"/>
          <w:b/>
          <w:color w:val="auto"/>
          <w:sz w:val="22"/>
          <w:szCs w:val="22"/>
          <w:highlight w:val="none"/>
          <w:shd w:val="clear" w:color="auto" w:fill="FFFFFF"/>
        </w:rPr>
        <w:t>本项目无需递交投标保证金。</w:t>
      </w:r>
    </w:p>
    <w:p w14:paraId="5D85B7A3">
      <w:pPr>
        <w:pStyle w:val="24"/>
        <w:wordWrap w:val="0"/>
        <w:spacing w:before="0" w:beforeAutospacing="0" w:after="0" w:afterAutospacing="0" w:line="360" w:lineRule="auto"/>
        <w:rPr>
          <w:rFonts w:hint="eastAsia" w:ascii="宋体" w:hAnsi="宋体" w:eastAsia="宋体" w:cs="宋体"/>
          <w:color w:val="auto"/>
          <w:highlight w:val="none"/>
        </w:rPr>
      </w:pPr>
      <w:r>
        <w:rPr>
          <w:rFonts w:hint="eastAsia" w:ascii="宋体" w:hAnsi="宋体" w:eastAsia="宋体" w:cs="宋体"/>
          <w:b/>
          <w:color w:val="auto"/>
          <w:sz w:val="22"/>
          <w:szCs w:val="22"/>
          <w:highlight w:val="none"/>
          <w:shd w:val="clear" w:color="auto" w:fill="FFFFFF"/>
        </w:rPr>
        <w:t>七、其他补充事宜</w:t>
      </w:r>
    </w:p>
    <w:p w14:paraId="401CEFF2">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1）本项目通过“乐采云平台（www.lecaiyun.com）”实行在线投标响应（电子投标），投标客户端使用乐采云投标客户端</w:t>
      </w:r>
      <w:r>
        <w:rPr>
          <w:rFonts w:hint="eastAsia" w:ascii="宋体" w:hAnsi="宋体" w:cs="宋体"/>
          <w:color w:val="auto"/>
          <w:kern w:val="0"/>
          <w:sz w:val="22"/>
          <w:szCs w:val="22"/>
          <w:highlight w:val="none"/>
          <w:lang w:val="en-US" w:eastAsia="zh-CN"/>
        </w:rPr>
        <w:t>。</w:t>
      </w:r>
    </w:p>
    <w:p w14:paraId="52D5EC2B">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为确保网上操作合法、有效和安全，投标供应商应当在投标截止时间前完成在“乐采云平台（www.lecaiyun.com）”的身份认证，确保在电子投标过程中能够对相关数据电文进行加密和使用电子签章。使用“乐采云平台（www.lecaiyun.com）电子交易客户端”需要提前申领CA数字证书，申领流程请自行前往“浙江政府采购网-下载专区-电子交易客户端-CA驱动和申领流程”进行查阅；（供应商应在开标前完成CA数字证书办理。</w:t>
      </w:r>
    </w:p>
    <w:p w14:paraId="3AF8B5A7">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3）投标供应商应当在投标截止时间前，将生成的“电子加密投标文件”上传递交至“乐采云平台（www.lecaiyun.com）”。投标截止时间以后上传递交的投标文件将被“乐采云平台（www.lecaiyun.com）”拒收。</w:t>
      </w:r>
    </w:p>
    <w:p w14:paraId="2F8164AD">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4）投标供应商在“乐采云平台（www.lecaiyun.com）”完成“电子加密投标文件”的上传递交后，还可以（邮寄形式）在投标截止时间前递交以介质（U盘）存储的数据电文形式的“备份投标文件”，邮寄形式“备份投标文件”应当密封包装并在包装上标注投标项目名称、投标单位名称并加盖公章。</w:t>
      </w:r>
    </w:p>
    <w:p w14:paraId="45164F0B">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 5）通过“乐采云平台（www.lecaiyun.com）”上传递交的“电子加密投标文件”无法按时解密，投标供应商递交了备份投标文件的，以备份投标文件为依据，否则视为投标文件撤回。通过“乐采云平台（www.lecaiyun.com）”上传递交的“电子加密投标文件”已按时解密的，“备份投标文件”自动失效。投标供应商仅递交备份投标文件的，投标无效。</w:t>
      </w:r>
    </w:p>
    <w:p w14:paraId="0D4B2EE8">
      <w:pPr>
        <w:widowControl/>
        <w:shd w:val="clear" w:color="auto" w:fill="auto"/>
        <w:kinsoku/>
        <w:wordWrap w:val="0"/>
        <w:overflowPunct/>
        <w:topLinePunct w:val="0"/>
        <w:bidi w:val="0"/>
        <w:spacing w:line="360" w:lineRule="auto"/>
        <w:ind w:firstLine="440" w:firstLineChars="200"/>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6）质疑投诉：质疑期：公告发布之日起7个工作日内。质疑资格：乐采云平台（www.lecaiyun.com）中本项目通过报名的供应商。对采购文件需求的以书面形式向采购人提出质疑，对其他内容的以书面形式向采购人和采购代理机构提出质疑。供应商在法定质疑期内一次性提出针对同一采购程序环节的质疑。</w:t>
      </w:r>
    </w:p>
    <w:p w14:paraId="49AEAF22">
      <w:pPr>
        <w:widowControl/>
        <w:shd w:val="clear" w:color="auto" w:fill="auto"/>
        <w:kinsoku/>
        <w:wordWrap w:val="0"/>
        <w:overflowPunct/>
        <w:topLinePunct w:val="0"/>
        <w:bidi w:val="0"/>
        <w:spacing w:line="360" w:lineRule="auto"/>
        <w:ind w:firstLine="442" w:firstLineChars="200"/>
        <w:jc w:val="left"/>
        <w:rPr>
          <w:rFonts w:hint="eastAsia" w:ascii="宋体" w:hAnsi="宋体" w:eastAsia="宋体" w:cs="宋体"/>
          <w:b/>
          <w:bCs/>
          <w:color w:val="auto"/>
          <w:sz w:val="22"/>
          <w:szCs w:val="22"/>
          <w:highlight w:val="none"/>
        </w:rPr>
      </w:pPr>
      <w:r>
        <w:rPr>
          <w:rFonts w:hint="eastAsia" w:ascii="宋体" w:hAnsi="宋体" w:eastAsia="宋体" w:cs="宋体"/>
          <w:b/>
          <w:bCs/>
          <w:color w:val="auto"/>
          <w:kern w:val="0"/>
          <w:sz w:val="22"/>
          <w:szCs w:val="22"/>
          <w:highlight w:val="none"/>
          <w:lang w:val="en-US" w:eastAsia="zh-CN"/>
        </w:rPr>
        <w:t xml:space="preserve">7）本项目属国企采购项目，平阳县公共资源交易中心只负责提供开标评标场地，没有采购文件审核、开标评标过程监督及合同履约监管的职能。对采购文件或开标评标过程有疑义的，向采购单位或代理机构质疑；对质疑答复、合同履约不满意的，向监管部门投诉。 </w:t>
      </w:r>
    </w:p>
    <w:p w14:paraId="7E9695F9">
      <w:pPr>
        <w:pStyle w:val="24"/>
        <w:wordWrap w:val="0"/>
        <w:spacing w:before="0" w:beforeAutospacing="0" w:after="0" w:afterAutospacing="0" w:line="360" w:lineRule="auto"/>
        <w:rPr>
          <w:rFonts w:hint="eastAsia" w:ascii="宋体" w:hAnsi="宋体" w:eastAsia="宋体" w:cs="宋体"/>
          <w:b/>
          <w:color w:val="auto"/>
          <w:sz w:val="22"/>
          <w:szCs w:val="22"/>
          <w:highlight w:val="none"/>
          <w:shd w:val="clear" w:color="auto" w:fill="FFFFFF"/>
          <w:lang w:eastAsia="zh-CN"/>
        </w:rPr>
      </w:pPr>
      <w:r>
        <w:rPr>
          <w:rFonts w:hint="eastAsia" w:ascii="宋体" w:hAnsi="宋体" w:eastAsia="宋体" w:cs="宋体"/>
          <w:b/>
          <w:color w:val="auto"/>
          <w:sz w:val="22"/>
          <w:szCs w:val="22"/>
          <w:highlight w:val="none"/>
          <w:shd w:val="clear" w:color="auto" w:fill="FFFFFF"/>
        </w:rPr>
        <w:t>八、对本次采购提出询问、质疑、投诉，请按以下方式联系</w:t>
      </w:r>
      <w:r>
        <w:rPr>
          <w:rFonts w:hint="eastAsia" w:ascii="宋体" w:hAnsi="宋体" w:eastAsia="宋体" w:cs="宋体"/>
          <w:b/>
          <w:color w:val="auto"/>
          <w:sz w:val="22"/>
          <w:szCs w:val="22"/>
          <w:highlight w:val="none"/>
          <w:shd w:val="clear" w:color="auto" w:fill="FFFFFF"/>
          <w:lang w:eastAsia="zh-CN"/>
        </w:rPr>
        <w:t>：</w:t>
      </w:r>
    </w:p>
    <w:bookmarkEnd w:id="0"/>
    <w:bookmarkEnd w:id="1"/>
    <w:bookmarkEnd w:id="2"/>
    <w:p w14:paraId="11958C21">
      <w:pPr>
        <w:widowControl/>
        <w:wordWrap w:val="0"/>
        <w:snapToGrid w:val="0"/>
        <w:spacing w:line="360" w:lineRule="auto"/>
        <w:ind w:firstLine="431" w:firstLineChars="196"/>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1、采购人</w:t>
      </w:r>
      <w:r>
        <w:rPr>
          <w:rFonts w:hint="eastAsia" w:ascii="宋体" w:hAnsi="宋体" w:eastAsia="宋体" w:cs="宋体"/>
          <w:color w:val="auto"/>
          <w:kern w:val="0"/>
          <w:sz w:val="22"/>
          <w:szCs w:val="22"/>
          <w:highlight w:val="none"/>
          <w:lang w:eastAsia="zh-CN"/>
        </w:rPr>
        <w:t>：平阳县青澜酒店管理有限公司</w:t>
      </w:r>
    </w:p>
    <w:p w14:paraId="33132F79">
      <w:pPr>
        <w:widowControl/>
        <w:wordWrap w:val="0"/>
        <w:snapToGrid w:val="0"/>
        <w:spacing w:line="360" w:lineRule="auto"/>
        <w:ind w:left="430" w:leftChars="205"/>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采购人地址</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sz w:val="22"/>
          <w:szCs w:val="22"/>
          <w:highlight w:val="none"/>
          <w:lang w:val="en-US" w:eastAsia="zh-CN"/>
        </w:rPr>
        <w:t>平阳县南雁镇笠湖村湖前路888号</w:t>
      </w:r>
    </w:p>
    <w:p w14:paraId="4EED2130">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 系 人</w:t>
      </w:r>
      <w:r>
        <w:rPr>
          <w:rFonts w:hint="eastAsia" w:ascii="宋体" w:hAnsi="宋体" w:eastAsia="宋体" w:cs="宋体"/>
          <w:color w:val="auto"/>
          <w:kern w:val="0"/>
          <w:sz w:val="22"/>
          <w:szCs w:val="22"/>
          <w:highlight w:val="none"/>
          <w:lang w:eastAsia="zh-CN"/>
        </w:rPr>
        <w:t>：</w:t>
      </w:r>
      <w:r>
        <w:rPr>
          <w:rFonts w:hint="eastAsia" w:ascii="宋体" w:hAnsi="宋体" w:cs="宋体"/>
          <w:color w:val="auto"/>
          <w:kern w:val="0"/>
          <w:sz w:val="22"/>
          <w:szCs w:val="22"/>
          <w:highlight w:val="none"/>
          <w:lang w:eastAsia="zh-CN"/>
        </w:rPr>
        <w:t>陈女士</w:t>
      </w:r>
    </w:p>
    <w:p w14:paraId="6F66D8E0">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联系电话</w:t>
      </w:r>
      <w:r>
        <w:rPr>
          <w:rFonts w:hint="eastAsia" w:ascii="宋体" w:hAnsi="宋体" w:eastAsia="宋体" w:cs="宋体"/>
          <w:color w:val="auto"/>
          <w:kern w:val="0"/>
          <w:sz w:val="22"/>
          <w:szCs w:val="22"/>
          <w:highlight w:val="none"/>
          <w:lang w:eastAsia="zh-CN"/>
        </w:rPr>
        <w:t>：</w:t>
      </w:r>
      <w:r>
        <w:rPr>
          <w:rFonts w:hint="eastAsia" w:ascii="宋体" w:hAnsi="宋体" w:cs="宋体"/>
          <w:color w:val="auto"/>
          <w:kern w:val="0"/>
          <w:sz w:val="22"/>
          <w:szCs w:val="22"/>
          <w:highlight w:val="none"/>
          <w:lang w:eastAsia="zh-CN"/>
        </w:rPr>
        <w:t>13645878093</w:t>
      </w:r>
    </w:p>
    <w:p w14:paraId="102D2979">
      <w:pPr>
        <w:widowControl/>
        <w:wordWrap w:val="0"/>
        <w:snapToGrid w:val="0"/>
        <w:spacing w:line="360" w:lineRule="auto"/>
        <w:ind w:left="430" w:leftChars="205"/>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lang w:val="en-US" w:eastAsia="zh-CN"/>
        </w:rPr>
        <w:t>2、</w:t>
      </w:r>
      <w:r>
        <w:rPr>
          <w:rFonts w:hint="eastAsia" w:ascii="宋体" w:hAnsi="宋体" w:eastAsia="宋体" w:cs="宋体"/>
          <w:color w:val="auto"/>
          <w:kern w:val="0"/>
          <w:sz w:val="22"/>
          <w:szCs w:val="22"/>
          <w:highlight w:val="none"/>
        </w:rPr>
        <w:t>采购代理机构名称</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新征程（杭州）招标代理有限公司</w:t>
      </w:r>
    </w:p>
    <w:p w14:paraId="1268985A">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kern w:val="0"/>
          <w:sz w:val="22"/>
          <w:szCs w:val="22"/>
          <w:highlight w:val="none"/>
        </w:rPr>
        <w:t>地址</w:t>
      </w:r>
      <w:r>
        <w:rPr>
          <w:rFonts w:hint="eastAsia" w:ascii="宋体" w:hAnsi="宋体" w:eastAsia="宋体" w:cs="宋体"/>
          <w:color w:val="auto"/>
          <w:kern w:val="0"/>
          <w:sz w:val="22"/>
          <w:szCs w:val="22"/>
          <w:highlight w:val="none"/>
          <w:lang w:eastAsia="zh-CN"/>
        </w:rPr>
        <w:t>：平阳县昆阳镇汉森世家1栋1单元902室</w:t>
      </w:r>
    </w:p>
    <w:p w14:paraId="78F094F4">
      <w:pPr>
        <w:widowControl/>
        <w:wordWrap w:val="0"/>
        <w:snapToGrid w:val="0"/>
        <w:spacing w:line="360" w:lineRule="auto"/>
        <w:ind w:left="430" w:leftChars="205"/>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联系人</w:t>
      </w:r>
      <w:bookmarkStart w:id="3" w:name="B38_联系人"/>
      <w:bookmarkEnd w:id="3"/>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李先生</w:t>
      </w:r>
    </w:p>
    <w:p w14:paraId="5858CBCB">
      <w:pPr>
        <w:widowControl/>
        <w:wordWrap w:val="0"/>
        <w:snapToGrid w:val="0"/>
        <w:spacing w:line="360" w:lineRule="auto"/>
        <w:ind w:left="430" w:leftChars="205"/>
        <w:jc w:val="left"/>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联系电话</w:t>
      </w:r>
      <w:r>
        <w:rPr>
          <w:rFonts w:hint="eastAsia" w:ascii="宋体" w:hAnsi="宋体" w:eastAsia="宋体" w:cs="宋体"/>
          <w:color w:val="auto"/>
          <w:kern w:val="0"/>
          <w:sz w:val="22"/>
          <w:szCs w:val="22"/>
          <w:highlight w:val="none"/>
          <w:lang w:eastAsia="zh-CN"/>
        </w:rPr>
        <w:t>：</w:t>
      </w:r>
      <w:r>
        <w:rPr>
          <w:rFonts w:hint="eastAsia" w:ascii="宋体" w:hAnsi="宋体" w:eastAsia="宋体" w:cs="宋体"/>
          <w:color w:val="auto"/>
          <w:kern w:val="0"/>
          <w:sz w:val="22"/>
          <w:szCs w:val="22"/>
          <w:highlight w:val="none"/>
        </w:rPr>
        <w:t>13029688868</w:t>
      </w:r>
    </w:p>
    <w:p w14:paraId="34300DCC">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rPr>
        <w:t>3、</w:t>
      </w:r>
      <w:r>
        <w:rPr>
          <w:rFonts w:hint="eastAsia" w:ascii="宋体" w:hAnsi="宋体" w:eastAsia="宋体" w:cs="宋体"/>
          <w:color w:val="auto"/>
          <w:kern w:val="0"/>
          <w:sz w:val="22"/>
          <w:szCs w:val="22"/>
          <w:highlight w:val="none"/>
          <w:lang w:val="en-US" w:eastAsia="zh-CN"/>
        </w:rPr>
        <w:t>同级采购监管管理部门名称：平阳县兴阳控股集团有限公司</w:t>
      </w:r>
    </w:p>
    <w:p w14:paraId="5B7575C8">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联系人：张先生</w:t>
      </w:r>
    </w:p>
    <w:p w14:paraId="7E884D03">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监督投诉电话：0577-63168022</w:t>
      </w:r>
    </w:p>
    <w:p w14:paraId="19066F41">
      <w:pPr>
        <w:widowControl/>
        <w:wordWrap w:val="0"/>
        <w:snapToGrid w:val="0"/>
        <w:spacing w:line="360" w:lineRule="auto"/>
        <w:ind w:left="430" w:leftChars="205"/>
        <w:jc w:val="left"/>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地址：平阳县昆阳镇公园路5号</w:t>
      </w:r>
    </w:p>
    <w:p w14:paraId="71C7F05D">
      <w:pPr>
        <w:widowControl/>
        <w:wordWrap w:val="0"/>
        <w:snapToGrid w:val="0"/>
        <w:spacing w:line="360" w:lineRule="auto"/>
        <w:ind w:left="430" w:leftChars="205"/>
        <w:jc w:val="left"/>
        <w:rPr>
          <w:rFonts w:hint="eastAsia" w:ascii="宋体" w:hAnsi="宋体" w:eastAsia="宋体" w:cs="宋体"/>
          <w:color w:val="auto"/>
          <w:kern w:val="0"/>
          <w:sz w:val="22"/>
          <w:szCs w:val="22"/>
          <w:highlight w:val="none"/>
        </w:rPr>
      </w:pPr>
    </w:p>
    <w:p w14:paraId="0384D4A1">
      <w:pPr>
        <w:widowControl/>
        <w:wordWrap w:val="0"/>
        <w:snapToGrid w:val="0"/>
        <w:spacing w:line="360" w:lineRule="auto"/>
        <w:ind w:left="430" w:leftChars="205"/>
        <w:jc w:val="center"/>
        <w:rPr>
          <w:rFonts w:hint="eastAsia" w:ascii="宋体" w:hAnsi="宋体" w:eastAsia="宋体" w:cs="宋体"/>
          <w:b/>
          <w:bCs/>
          <w:color w:val="auto"/>
          <w:sz w:val="36"/>
          <w:szCs w:val="36"/>
          <w:highlight w:val="none"/>
        </w:rPr>
      </w:pPr>
      <w:r>
        <w:rPr>
          <w:rFonts w:hint="eastAsia" w:ascii="宋体" w:hAnsi="宋体" w:eastAsia="宋体" w:cs="宋体"/>
          <w:color w:val="auto"/>
          <w:kern w:val="0"/>
          <w:sz w:val="22"/>
          <w:szCs w:val="22"/>
          <w:highlight w:val="none"/>
        </w:rPr>
        <w:br w:type="page"/>
      </w:r>
      <w:r>
        <w:rPr>
          <w:rFonts w:hint="eastAsia" w:ascii="宋体" w:hAnsi="宋体" w:eastAsia="宋体" w:cs="宋体"/>
          <w:b/>
          <w:bCs/>
          <w:color w:val="auto"/>
          <w:sz w:val="36"/>
          <w:szCs w:val="36"/>
          <w:highlight w:val="none"/>
        </w:rPr>
        <w:t>投 标 通 知 (邀 请) 书</w:t>
      </w:r>
    </w:p>
    <w:p w14:paraId="0865F470">
      <w:pPr>
        <w:wordWrap w:val="0"/>
        <w:adjustRightInd w:val="0"/>
        <w:snapToGrid w:val="0"/>
        <w:spacing w:line="360" w:lineRule="auto"/>
        <w:ind w:firstLine="440" w:firstLineChars="20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新征程（杭州）招标代理有限公司对</w:t>
      </w:r>
      <w:r>
        <w:rPr>
          <w:rFonts w:hint="eastAsia" w:ascii="宋体" w:hAnsi="宋体" w:cs="宋体"/>
          <w:color w:val="auto"/>
          <w:kern w:val="0"/>
          <w:sz w:val="22"/>
          <w:szCs w:val="22"/>
          <w:highlight w:val="none"/>
          <w:lang w:eastAsia="zh-CN"/>
        </w:rPr>
        <w:t>2026年度采购雁荡山君澜度假酒店液化天然气（LNG）、运输及天然气站维护服务采购</w:t>
      </w:r>
      <w:r>
        <w:rPr>
          <w:rFonts w:hint="eastAsia" w:ascii="宋体" w:hAnsi="宋体" w:eastAsia="宋体" w:cs="宋体"/>
          <w:color w:val="auto"/>
          <w:kern w:val="0"/>
          <w:sz w:val="22"/>
          <w:szCs w:val="22"/>
          <w:highlight w:val="none"/>
        </w:rPr>
        <w:t>进行公开招标，特通知贵公司（企业）前来投标。并请按采购文件的要求认真准备好投标文件，按时前来投标。</w:t>
      </w:r>
    </w:p>
    <w:tbl>
      <w:tblPr>
        <w:tblStyle w:val="28"/>
        <w:tblW w:w="9864"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57" w:type="dxa"/>
          <w:left w:w="108" w:type="dxa"/>
          <w:bottom w:w="57" w:type="dxa"/>
          <w:right w:w="108" w:type="dxa"/>
        </w:tblCellMar>
      </w:tblPr>
      <w:tblGrid>
        <w:gridCol w:w="842"/>
        <w:gridCol w:w="1553"/>
        <w:gridCol w:w="7469"/>
      </w:tblGrid>
      <w:tr w14:paraId="3DA421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798ED3B">
            <w:pPr>
              <w:wordWrap w:val="0"/>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序号</w:t>
            </w:r>
          </w:p>
        </w:tc>
        <w:tc>
          <w:tcPr>
            <w:tcW w:w="1553" w:type="dxa"/>
            <w:vAlign w:val="center"/>
          </w:tcPr>
          <w:p w14:paraId="633D9C82">
            <w:pPr>
              <w:wordWrap w:val="0"/>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内容</w:t>
            </w:r>
          </w:p>
        </w:tc>
        <w:tc>
          <w:tcPr>
            <w:tcW w:w="7469" w:type="dxa"/>
            <w:vAlign w:val="center"/>
          </w:tcPr>
          <w:p w14:paraId="16935D43">
            <w:pPr>
              <w:wordWrap w:val="0"/>
              <w:spacing w:line="360" w:lineRule="auto"/>
              <w:jc w:val="center"/>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说明与要求</w:t>
            </w:r>
          </w:p>
        </w:tc>
      </w:tr>
      <w:tr w14:paraId="67B916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848648F">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1C0BAE7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项目名称</w:t>
            </w:r>
          </w:p>
        </w:tc>
        <w:tc>
          <w:tcPr>
            <w:tcW w:w="7469" w:type="dxa"/>
            <w:vAlign w:val="center"/>
          </w:tcPr>
          <w:p w14:paraId="046AEAB9">
            <w:pPr>
              <w:wordWrap w:val="0"/>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sz w:val="22"/>
                <w:szCs w:val="22"/>
                <w:highlight w:val="none"/>
                <w:lang w:eastAsia="zh-CN"/>
              </w:rPr>
              <w:t>2026年度采购雁荡山君澜度假酒店液化天然气（LNG）、运输及天然气站维护服务采购</w:t>
            </w:r>
          </w:p>
        </w:tc>
      </w:tr>
      <w:tr w14:paraId="5E81EC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7EFC01C">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F899F54">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项目编号</w:t>
            </w:r>
          </w:p>
        </w:tc>
        <w:tc>
          <w:tcPr>
            <w:tcW w:w="7469" w:type="dxa"/>
            <w:vAlign w:val="center"/>
          </w:tcPr>
          <w:p w14:paraId="2BE83C16">
            <w:pPr>
              <w:wordWrap w:val="0"/>
              <w:spacing w:line="360" w:lineRule="auto"/>
              <w:rPr>
                <w:rFonts w:hint="eastAsia" w:ascii="宋体" w:hAnsi="宋体" w:eastAsia="宋体" w:cs="宋体"/>
                <w:color w:val="auto"/>
                <w:sz w:val="22"/>
                <w:szCs w:val="22"/>
                <w:highlight w:val="none"/>
                <w:lang w:eastAsia="zh-CN"/>
              </w:rPr>
            </w:pPr>
            <w:r>
              <w:rPr>
                <w:rFonts w:hint="eastAsia" w:ascii="宋体" w:hAnsi="宋体" w:cs="宋体"/>
                <w:color w:val="auto"/>
                <w:kern w:val="0"/>
                <w:sz w:val="22"/>
                <w:szCs w:val="22"/>
                <w:highlight w:val="none"/>
                <w:lang w:eastAsia="zh-CN"/>
              </w:rPr>
              <w:t>PYCG260608076</w:t>
            </w:r>
          </w:p>
        </w:tc>
      </w:tr>
      <w:tr w14:paraId="38A9E8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69630C82">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2C12AF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资金来源</w:t>
            </w:r>
          </w:p>
        </w:tc>
        <w:tc>
          <w:tcPr>
            <w:tcW w:w="7469" w:type="dxa"/>
            <w:vAlign w:val="center"/>
          </w:tcPr>
          <w:p w14:paraId="30978549">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自筹</w:t>
            </w:r>
          </w:p>
        </w:tc>
      </w:tr>
      <w:tr w14:paraId="2D56AD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1113153">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3925EF8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采购预算</w:t>
            </w:r>
          </w:p>
          <w:p w14:paraId="6BAC8389">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（最高限价）</w:t>
            </w:r>
          </w:p>
        </w:tc>
        <w:tc>
          <w:tcPr>
            <w:tcW w:w="7469" w:type="dxa"/>
            <w:vAlign w:val="center"/>
          </w:tcPr>
          <w:p w14:paraId="02EB3EFB">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具体见招标公告</w:t>
            </w:r>
          </w:p>
        </w:tc>
      </w:tr>
      <w:tr w14:paraId="7BE43B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87554F8">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8973C1C">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采购方式</w:t>
            </w:r>
          </w:p>
        </w:tc>
        <w:tc>
          <w:tcPr>
            <w:tcW w:w="7469" w:type="dxa"/>
            <w:vAlign w:val="center"/>
          </w:tcPr>
          <w:p w14:paraId="32165A94">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公开招标</w:t>
            </w:r>
          </w:p>
        </w:tc>
      </w:tr>
      <w:tr w14:paraId="043C86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CCDDF56">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112C20E3">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w:t>
            </w:r>
          </w:p>
        </w:tc>
        <w:tc>
          <w:tcPr>
            <w:tcW w:w="7469" w:type="dxa"/>
            <w:vAlign w:val="center"/>
          </w:tcPr>
          <w:p w14:paraId="4B79A115">
            <w:pPr>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采购人</w:t>
            </w:r>
            <w:r>
              <w:rPr>
                <w:rFonts w:hint="eastAsia" w:ascii="宋体" w:hAnsi="宋体" w:eastAsia="宋体" w:cs="宋体"/>
                <w:color w:val="auto"/>
                <w:sz w:val="22"/>
                <w:szCs w:val="22"/>
                <w:highlight w:val="none"/>
                <w:lang w:eastAsia="zh-CN"/>
              </w:rPr>
              <w:t>：平阳县青澜酒店管理有限公司</w:t>
            </w:r>
          </w:p>
          <w:p w14:paraId="63430D22">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采购人地址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平阳县南雁镇笠湖村湖前路888号</w:t>
            </w:r>
          </w:p>
          <w:p w14:paraId="0E4CB0C8">
            <w:pPr>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 xml:space="preserve"> </w:t>
            </w:r>
            <w:r>
              <w:rPr>
                <w:rFonts w:hint="eastAsia" w:ascii="宋体" w:hAnsi="宋体" w:cs="宋体"/>
                <w:color w:val="auto"/>
                <w:sz w:val="22"/>
                <w:szCs w:val="22"/>
                <w:highlight w:val="none"/>
                <w:lang w:eastAsia="zh-CN"/>
              </w:rPr>
              <w:t>陈女士</w:t>
            </w:r>
          </w:p>
          <w:p w14:paraId="4FF1589C">
            <w:pPr>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eastAsia="zh-CN"/>
              </w:rPr>
              <w:t>13645878093</w:t>
            </w:r>
          </w:p>
        </w:tc>
      </w:tr>
      <w:tr w14:paraId="119882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F6183DD">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6B5C33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采购代理机构</w:t>
            </w:r>
          </w:p>
        </w:tc>
        <w:tc>
          <w:tcPr>
            <w:tcW w:w="7469" w:type="dxa"/>
            <w:vAlign w:val="center"/>
          </w:tcPr>
          <w:p w14:paraId="3FC129DC">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代理机构名称</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新征程（杭州）招标代理有限公司</w:t>
            </w:r>
          </w:p>
          <w:p w14:paraId="20138A45">
            <w:pPr>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地址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lang w:eastAsia="zh-CN"/>
              </w:rPr>
              <w:t>平阳县昆阳镇汉森世家1栋1单元902室</w:t>
            </w:r>
          </w:p>
          <w:p w14:paraId="2A250506">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 系 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rPr>
              <w:t>李先生</w:t>
            </w:r>
          </w:p>
          <w:p w14:paraId="6CA24E28">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13029688868</w:t>
            </w:r>
          </w:p>
        </w:tc>
      </w:tr>
      <w:tr w14:paraId="4B5A8C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FD0BB9B">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7A06E622">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评标办法</w:t>
            </w:r>
          </w:p>
        </w:tc>
        <w:tc>
          <w:tcPr>
            <w:tcW w:w="7469" w:type="dxa"/>
            <w:vAlign w:val="center"/>
          </w:tcPr>
          <w:p w14:paraId="18992A0C">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综合评分法</w:t>
            </w:r>
          </w:p>
        </w:tc>
      </w:tr>
      <w:tr w14:paraId="28AA25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A5798A8">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EE5660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招标内容</w:t>
            </w:r>
          </w:p>
        </w:tc>
        <w:tc>
          <w:tcPr>
            <w:tcW w:w="7469" w:type="dxa"/>
            <w:vAlign w:val="center"/>
          </w:tcPr>
          <w:p w14:paraId="13CFACDF">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具体内容见采购文件</w:t>
            </w:r>
          </w:p>
        </w:tc>
      </w:tr>
      <w:tr w14:paraId="20992D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3F1DA06">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5FDFD474">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投标供应商</w:t>
            </w:r>
          </w:p>
          <w:p w14:paraId="21E14A9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资格要求</w:t>
            </w:r>
          </w:p>
        </w:tc>
        <w:tc>
          <w:tcPr>
            <w:tcW w:w="7469" w:type="dxa"/>
            <w:vAlign w:val="center"/>
          </w:tcPr>
          <w:p w14:paraId="42C84D78">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详见招标公告</w:t>
            </w:r>
          </w:p>
        </w:tc>
      </w:tr>
      <w:tr w14:paraId="18FFF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F25D44B">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F49AC9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是否接受联合体投标</w:t>
            </w:r>
          </w:p>
        </w:tc>
        <w:tc>
          <w:tcPr>
            <w:tcW w:w="7469" w:type="dxa"/>
            <w:vAlign w:val="center"/>
          </w:tcPr>
          <w:p w14:paraId="0A7087E9">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b w:val="0"/>
                <w:bCs w:val="0"/>
                <w:color w:val="auto"/>
                <w:sz w:val="22"/>
                <w:szCs w:val="22"/>
                <w:highlight w:val="none"/>
              </w:rPr>
              <w:fldChar w:fldCharType="begin"/>
            </w:r>
            <w:r>
              <w:rPr>
                <w:rFonts w:hint="eastAsia" w:ascii="宋体" w:hAnsi="宋体" w:eastAsia="宋体" w:cs="宋体"/>
                <w:b w:val="0"/>
                <w:bCs w:val="0"/>
                <w:color w:val="auto"/>
                <w:sz w:val="22"/>
                <w:szCs w:val="22"/>
                <w:highlight w:val="none"/>
              </w:rPr>
              <w:instrText xml:space="preserve"> eq \o\ac(□,</w:instrText>
            </w:r>
            <w:r>
              <w:rPr>
                <w:rFonts w:hint="eastAsia" w:ascii="宋体" w:hAnsi="宋体" w:eastAsia="宋体" w:cs="宋体"/>
                <w:b w:val="0"/>
                <w:bCs w:val="0"/>
                <w:color w:val="auto"/>
                <w:position w:val="2"/>
                <w:sz w:val="15"/>
                <w:szCs w:val="22"/>
                <w:highlight w:val="none"/>
              </w:rPr>
              <w:instrText xml:space="preserve">√</w:instrText>
            </w:r>
            <w:r>
              <w:rPr>
                <w:rFonts w:hint="eastAsia" w:ascii="宋体" w:hAnsi="宋体" w:eastAsia="宋体" w:cs="宋体"/>
                <w:b w:val="0"/>
                <w:bCs w:val="0"/>
                <w:color w:val="auto"/>
                <w:sz w:val="22"/>
                <w:szCs w:val="22"/>
                <w:highlight w:val="none"/>
              </w:rPr>
              <w:instrText xml:space="preserve">)</w:instrText>
            </w:r>
            <w:r>
              <w:rPr>
                <w:rFonts w:hint="eastAsia" w:ascii="宋体" w:hAnsi="宋体" w:eastAsia="宋体" w:cs="宋体"/>
                <w:b w:val="0"/>
                <w:bCs w:val="0"/>
                <w:color w:val="auto"/>
                <w:sz w:val="22"/>
                <w:szCs w:val="22"/>
                <w:highlight w:val="none"/>
              </w:rPr>
              <w:fldChar w:fldCharType="end"/>
            </w:r>
            <w:r>
              <w:rPr>
                <w:rFonts w:hint="eastAsia" w:ascii="宋体" w:hAnsi="宋体" w:eastAsia="宋体" w:cs="宋体"/>
                <w:b w:val="0"/>
                <w:bCs w:val="0"/>
                <w:color w:val="auto"/>
                <w:sz w:val="22"/>
                <w:szCs w:val="22"/>
                <w:highlight w:val="none"/>
                <w:lang w:val="en-US" w:eastAsia="zh-CN"/>
              </w:rPr>
              <w:t>不</w:t>
            </w:r>
            <w:r>
              <w:rPr>
                <w:rFonts w:hint="eastAsia" w:ascii="宋体" w:hAnsi="宋体" w:eastAsia="宋体" w:cs="宋体"/>
                <w:b w:val="0"/>
                <w:bCs w:val="0"/>
                <w:color w:val="auto"/>
                <w:sz w:val="22"/>
                <w:szCs w:val="22"/>
                <w:highlight w:val="none"/>
                <w:shd w:val="clear" w:color="auto" w:fill="FFFFFF"/>
              </w:rPr>
              <w:t>接受</w:t>
            </w:r>
          </w:p>
        </w:tc>
      </w:tr>
      <w:tr w14:paraId="36B9B1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937D164">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655768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踏勘现场</w:t>
            </w:r>
          </w:p>
        </w:tc>
        <w:tc>
          <w:tcPr>
            <w:tcW w:w="7469" w:type="dxa"/>
            <w:vAlign w:val="center"/>
          </w:tcPr>
          <w:p w14:paraId="71FBBBB7">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2"/>
                <w:sz w:val="22"/>
                <w:szCs w:val="22"/>
                <w:highlight w:val="none"/>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不组织</w:t>
            </w:r>
          </w:p>
        </w:tc>
      </w:tr>
      <w:tr w14:paraId="215A01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E65F7E4">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18817756">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是否允许递交备选投标方案</w:t>
            </w:r>
          </w:p>
        </w:tc>
        <w:tc>
          <w:tcPr>
            <w:tcW w:w="7469" w:type="dxa"/>
            <w:vAlign w:val="center"/>
          </w:tcPr>
          <w:p w14:paraId="222B29ED">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fldChar w:fldCharType="begin"/>
            </w:r>
            <w:r>
              <w:rPr>
                <w:rFonts w:hint="eastAsia" w:ascii="宋体" w:hAnsi="宋体" w:eastAsia="宋体" w:cs="宋体"/>
                <w:color w:val="auto"/>
                <w:sz w:val="22"/>
                <w:szCs w:val="22"/>
                <w:highlight w:val="none"/>
              </w:rPr>
              <w:instrText xml:space="preserve"> eq \o\ac(□,</w:instrText>
            </w:r>
            <w:r>
              <w:rPr>
                <w:rFonts w:hint="eastAsia" w:ascii="宋体" w:hAnsi="宋体" w:eastAsia="宋体" w:cs="宋体"/>
                <w:color w:val="auto"/>
                <w:position w:val="2"/>
                <w:sz w:val="22"/>
                <w:szCs w:val="22"/>
                <w:highlight w:val="none"/>
              </w:rPr>
              <w:instrText xml:space="preserve">√</w:instrText>
            </w:r>
            <w:r>
              <w:rPr>
                <w:rFonts w:hint="eastAsia" w:ascii="宋体" w:hAnsi="宋体" w:eastAsia="宋体" w:cs="宋体"/>
                <w:color w:val="auto"/>
                <w:sz w:val="22"/>
                <w:szCs w:val="22"/>
                <w:highlight w:val="none"/>
              </w:rPr>
              <w:instrText xml:space="preserve">)</w:instrTex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不允许</w:t>
            </w:r>
          </w:p>
        </w:tc>
      </w:tr>
      <w:tr w14:paraId="4E869A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5799657">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2A9EA3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投标货币</w:t>
            </w:r>
          </w:p>
        </w:tc>
        <w:tc>
          <w:tcPr>
            <w:tcW w:w="7469" w:type="dxa"/>
            <w:vAlign w:val="center"/>
          </w:tcPr>
          <w:p w14:paraId="476DC7E8">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人民币</w:t>
            </w:r>
          </w:p>
        </w:tc>
      </w:tr>
      <w:tr w14:paraId="642942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7CE32E3">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B315975">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投标语言</w:t>
            </w:r>
          </w:p>
        </w:tc>
        <w:tc>
          <w:tcPr>
            <w:tcW w:w="7469" w:type="dxa"/>
            <w:vAlign w:val="center"/>
          </w:tcPr>
          <w:p w14:paraId="7D9F388E">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中文</w:t>
            </w:r>
          </w:p>
        </w:tc>
      </w:tr>
      <w:tr w14:paraId="632DC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3C3CF41">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480EB7C">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投标文件的组成</w:t>
            </w:r>
          </w:p>
        </w:tc>
        <w:tc>
          <w:tcPr>
            <w:tcW w:w="7469" w:type="dxa"/>
            <w:vAlign w:val="center"/>
          </w:tcPr>
          <w:p w14:paraId="53A199BC">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完整的《投标文件》由“资格文件”、“报价文件”和“商务技术文件”三个部分组成。</w:t>
            </w:r>
          </w:p>
        </w:tc>
      </w:tr>
      <w:tr w14:paraId="0D3030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B2E426F">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3E50B52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投标文件的编制</w:t>
            </w:r>
          </w:p>
        </w:tc>
        <w:tc>
          <w:tcPr>
            <w:tcW w:w="7469" w:type="dxa"/>
            <w:vAlign w:val="center"/>
          </w:tcPr>
          <w:p w14:paraId="1500A121">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1.供应商应先安装“乐采云电子投标客户端”，并按照本采购文件和“乐采云平台”的要求，通过“乐采云电子投标客户端”编制并加密投标文件。</w:t>
            </w:r>
          </w:p>
        </w:tc>
      </w:tr>
      <w:tr w14:paraId="75A299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3C83A2A">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4B02DFD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签字或盖章要求</w:t>
            </w:r>
          </w:p>
        </w:tc>
        <w:tc>
          <w:tcPr>
            <w:tcW w:w="7469" w:type="dxa"/>
            <w:vAlign w:val="center"/>
          </w:tcPr>
          <w:p w14:paraId="5CD25BAC">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lang w:bidi="ar"/>
              </w:rPr>
              <w:t>电子签章。</w:t>
            </w:r>
            <w:r>
              <w:rPr>
                <w:rFonts w:hint="eastAsia" w:ascii="宋体" w:hAnsi="宋体" w:eastAsia="宋体" w:cs="宋体"/>
                <w:color w:val="auto"/>
                <w:sz w:val="22"/>
                <w:szCs w:val="22"/>
                <w:highlight w:val="none"/>
              </w:rPr>
              <w:t>采购文件所指的加盖单位公章为电子签章。</w:t>
            </w:r>
          </w:p>
          <w:p w14:paraId="2B98D96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投标文件须按采购文件格式要求，由供应商加盖单位公章和法定代表人或其授权代表印章（或签字）。</w:t>
            </w:r>
          </w:p>
        </w:tc>
      </w:tr>
      <w:tr w14:paraId="0492AD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74EA119A">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45C98F3">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投标文件的形式</w:t>
            </w:r>
          </w:p>
        </w:tc>
        <w:tc>
          <w:tcPr>
            <w:tcW w:w="7469" w:type="dxa"/>
            <w:vAlign w:val="center"/>
          </w:tcPr>
          <w:p w14:paraId="1D355FC9">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电子投标文件（包括“电子加密投标文件”和“备份投标文件”，在投标文件编制完成后同时生成）；</w:t>
            </w:r>
          </w:p>
          <w:p w14:paraId="69CC031F">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（1）“电子加密投标文件”是指通过“政采云电子交易客户端”完成投标文件编制后生成并加密的数据电文形式的投标文件。</w:t>
            </w:r>
          </w:p>
          <w:p w14:paraId="7A7DB9EA">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（2）“备份投标文件”是指与“电子加密投标文件”同时生成的数据电文形式的电子文件（备份标书），</w:t>
            </w:r>
            <w:r>
              <w:rPr>
                <w:rFonts w:hint="eastAsia" w:ascii="宋体" w:hAnsi="宋体" w:eastAsia="宋体" w:cs="宋体"/>
                <w:b/>
                <w:bCs/>
                <w:color w:val="auto"/>
                <w:sz w:val="22"/>
                <w:szCs w:val="22"/>
                <w:highlight w:val="none"/>
              </w:rPr>
              <w:t>其他方式编制的备份投标文件视为无效备份投标文件。</w:t>
            </w:r>
          </w:p>
        </w:tc>
      </w:tr>
      <w:tr w14:paraId="343328C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69532252">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DCFDD82">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投标文件份数</w:t>
            </w:r>
          </w:p>
        </w:tc>
        <w:tc>
          <w:tcPr>
            <w:tcW w:w="7469" w:type="dxa"/>
            <w:vAlign w:val="center"/>
          </w:tcPr>
          <w:p w14:paraId="7B170273">
            <w:pPr>
              <w:pStyle w:val="20"/>
              <w:tabs>
                <w:tab w:val="right" w:leader="dot" w:pos="9118"/>
              </w:tabs>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（1）“电子加密投标文件”</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在线上传递交、一份。（2）“备份投标文件”</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密封包装后（邮寄形式投标截止时间前递交、一份（邮寄地址</w:t>
            </w:r>
            <w:r>
              <w:rPr>
                <w:rFonts w:hint="eastAsia" w:ascii="宋体" w:hAnsi="宋体" w:eastAsia="宋体" w:cs="宋体"/>
                <w:color w:val="auto"/>
                <w:sz w:val="22"/>
                <w:szCs w:val="22"/>
                <w:highlight w:val="none"/>
                <w:lang w:eastAsia="zh-CN"/>
              </w:rPr>
              <w:t>：平阳县昆阳镇汉森世家1栋1单元902室</w:t>
            </w:r>
            <w:r>
              <w:rPr>
                <w:rFonts w:hint="eastAsia" w:ascii="宋体" w:hAnsi="宋体" w:eastAsia="宋体" w:cs="宋体"/>
                <w:color w:val="auto"/>
                <w:sz w:val="22"/>
                <w:szCs w:val="22"/>
                <w:highlight w:val="none"/>
              </w:rPr>
              <w:t xml:space="preserve"> 李先生收 13029688868））或者发至邮箱250785507@qq.com</w:t>
            </w:r>
            <w:r>
              <w:rPr>
                <w:rFonts w:hint="eastAsia" w:ascii="宋体" w:hAnsi="宋体" w:eastAsia="宋体" w:cs="宋体"/>
                <w:b/>
                <w:bCs/>
                <w:color w:val="auto"/>
                <w:sz w:val="22"/>
                <w:szCs w:val="22"/>
                <w:highlight w:val="none"/>
              </w:rPr>
              <w:t>（压缩包打包加密，密码由供应商自行保管）</w:t>
            </w:r>
            <w:r>
              <w:rPr>
                <w:rFonts w:hint="eastAsia" w:ascii="宋体" w:hAnsi="宋体" w:eastAsia="宋体" w:cs="宋体"/>
                <w:color w:val="auto"/>
                <w:sz w:val="22"/>
                <w:szCs w:val="22"/>
                <w:highlight w:val="none"/>
              </w:rPr>
              <w:t>。</w:t>
            </w:r>
          </w:p>
        </w:tc>
      </w:tr>
      <w:tr w14:paraId="44221C4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C6DAF4E">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32F62294">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投标文件的上传和递交</w:t>
            </w:r>
          </w:p>
        </w:tc>
        <w:tc>
          <w:tcPr>
            <w:tcW w:w="7469" w:type="dxa"/>
            <w:vAlign w:val="center"/>
          </w:tcPr>
          <w:p w14:paraId="086F0624">
            <w:pPr>
              <w:pStyle w:val="20"/>
              <w:tabs>
                <w:tab w:val="right" w:leader="dot" w:pos="9118"/>
              </w:tabs>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（1）“电子加密投标文件”的上传、递交</w:t>
            </w:r>
            <w:r>
              <w:rPr>
                <w:rFonts w:hint="eastAsia" w:ascii="宋体" w:hAnsi="宋体" w:eastAsia="宋体" w:cs="宋体"/>
                <w:color w:val="auto"/>
                <w:sz w:val="22"/>
                <w:szCs w:val="22"/>
                <w:highlight w:val="none"/>
                <w:lang w:eastAsia="zh-CN"/>
              </w:rPr>
              <w:t>：</w:t>
            </w:r>
          </w:p>
          <w:p w14:paraId="5AD6F1C1">
            <w:pPr>
              <w:pStyle w:val="20"/>
              <w:tabs>
                <w:tab w:val="right" w:leader="dot" w:pos="9118"/>
              </w:tabs>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a.投标供应商应在投标截止时间前将“电子加密投标文件”成功上传递交至“乐采云平台”，否则投标无效。</w:t>
            </w:r>
          </w:p>
          <w:p w14:paraId="7FF01036">
            <w:pPr>
              <w:pStyle w:val="20"/>
              <w:tabs>
                <w:tab w:val="right" w:leader="dot" w:pos="9118"/>
              </w:tabs>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b.“电子加密投标文件”成功上传递交后，供应商可自行打印投标文件接收回执。</w:t>
            </w:r>
          </w:p>
          <w:p w14:paraId="516A42AB">
            <w:pPr>
              <w:pStyle w:val="20"/>
              <w:tabs>
                <w:tab w:val="right" w:leader="dot" w:pos="9118"/>
              </w:tabs>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（2）“备份投标文件”的密封包装、递交</w:t>
            </w:r>
            <w:r>
              <w:rPr>
                <w:rFonts w:hint="eastAsia" w:ascii="宋体" w:hAnsi="宋体" w:eastAsia="宋体" w:cs="宋体"/>
                <w:color w:val="auto"/>
                <w:sz w:val="22"/>
                <w:szCs w:val="22"/>
                <w:highlight w:val="none"/>
                <w:lang w:eastAsia="zh-CN"/>
              </w:rPr>
              <w:t>：</w:t>
            </w:r>
          </w:p>
          <w:p w14:paraId="392AF227">
            <w:pPr>
              <w:pStyle w:val="20"/>
              <w:tabs>
                <w:tab w:val="right" w:leader="dot" w:pos="9118"/>
              </w:tabs>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a.投标供应商在“乐采云平台”完成“电子加密投标文件”的上传递交后，还可以（邮寄</w:t>
            </w:r>
            <w:r>
              <w:rPr>
                <w:rFonts w:hint="eastAsia" w:ascii="宋体" w:hAnsi="宋体" w:eastAsia="宋体" w:cs="宋体"/>
                <w:color w:val="auto"/>
                <w:sz w:val="22"/>
                <w:szCs w:val="22"/>
                <w:highlight w:val="none"/>
                <w:lang w:val="en-US" w:eastAsia="zh-CN"/>
              </w:rPr>
              <w:t>或邮件</w:t>
            </w:r>
            <w:r>
              <w:rPr>
                <w:rFonts w:hint="eastAsia" w:ascii="宋体" w:hAnsi="宋体" w:eastAsia="宋体" w:cs="宋体"/>
                <w:color w:val="auto"/>
                <w:sz w:val="22"/>
                <w:szCs w:val="22"/>
                <w:highlight w:val="none"/>
              </w:rPr>
              <w:t>形式）在投标截止时间前递交以介质（U盘</w:t>
            </w:r>
            <w:r>
              <w:rPr>
                <w:rFonts w:hint="eastAsia" w:ascii="宋体" w:hAnsi="宋体" w:eastAsia="宋体" w:cs="宋体"/>
                <w:color w:val="auto"/>
                <w:sz w:val="22"/>
                <w:szCs w:val="22"/>
                <w:highlight w:val="none"/>
                <w:lang w:val="en-US" w:eastAsia="zh-CN"/>
              </w:rPr>
              <w:t>或加密压缩包</w:t>
            </w:r>
            <w:r>
              <w:rPr>
                <w:rFonts w:hint="eastAsia" w:ascii="宋体" w:hAnsi="宋体" w:eastAsia="宋体" w:cs="宋体"/>
                <w:color w:val="auto"/>
                <w:sz w:val="22"/>
                <w:szCs w:val="22"/>
                <w:highlight w:val="none"/>
              </w:rPr>
              <w:t>）存储的 “备份投标文件”（一份）或以电子邮件方式递交；</w:t>
            </w:r>
          </w:p>
          <w:p w14:paraId="527B69CB">
            <w:pPr>
              <w:pStyle w:val="20"/>
              <w:tabs>
                <w:tab w:val="right" w:leader="dot" w:pos="9118"/>
              </w:tabs>
              <w:wordWrap w:val="0"/>
              <w:adjustRightInd w:val="0"/>
              <w:spacing w:line="360" w:lineRule="auto"/>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b.邮寄“备份投标文件”应当密封包装，并在包装上标注投标项目名称、投标单位名称并加盖公章。没有密封包装或者逾期邮寄送达至投标地点的“备份投标文件”将不予接收；</w:t>
            </w:r>
            <w:r>
              <w:rPr>
                <w:rFonts w:hint="eastAsia" w:ascii="宋体" w:hAnsi="宋体" w:eastAsia="宋体" w:cs="宋体"/>
                <w:color w:val="auto"/>
                <w:sz w:val="22"/>
                <w:szCs w:val="22"/>
                <w:highlight w:val="none"/>
                <w:lang w:val="en-US" w:eastAsia="zh-CN"/>
              </w:rPr>
              <w:t>邮件形式</w:t>
            </w:r>
            <w:r>
              <w:rPr>
                <w:rFonts w:hint="eastAsia" w:ascii="宋体" w:hAnsi="宋体" w:eastAsia="宋体" w:cs="宋体"/>
                <w:color w:val="auto"/>
                <w:sz w:val="22"/>
                <w:szCs w:val="22"/>
                <w:highlight w:val="none"/>
              </w:rPr>
              <w:t>“备份投标文件”</w:t>
            </w:r>
            <w:r>
              <w:rPr>
                <w:rFonts w:hint="eastAsia" w:ascii="宋体" w:hAnsi="宋体" w:eastAsia="宋体" w:cs="宋体"/>
                <w:color w:val="auto"/>
                <w:sz w:val="22"/>
                <w:szCs w:val="22"/>
                <w:highlight w:val="none"/>
                <w:lang w:val="en-US" w:eastAsia="zh-CN"/>
              </w:rPr>
              <w:t>应当通过加密压缩包形式发送至采购代理机构邮箱，无需提供密码，密码由供应商自行保管。</w:t>
            </w:r>
          </w:p>
          <w:p w14:paraId="329A4B9F">
            <w:pPr>
              <w:pStyle w:val="20"/>
              <w:tabs>
                <w:tab w:val="right" w:leader="dot" w:pos="9118"/>
              </w:tabs>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c.通过“乐采云平台”成功上传递交的“电子加密投标文件”已按时解密的，“备份投标文件”自动失效。投标截止时间前，投标供应商仅递交了“备份投标文件”而未将“电子加密投标文件”成功上传至“乐采云平台”的，投标无效。</w:t>
            </w:r>
          </w:p>
        </w:tc>
      </w:tr>
      <w:tr w14:paraId="3B52B9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B8B74FA">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73E2FF51">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电子加密投标文件的解密和异常情况处理</w:t>
            </w:r>
          </w:p>
        </w:tc>
        <w:tc>
          <w:tcPr>
            <w:tcW w:w="7469" w:type="dxa"/>
            <w:vAlign w:val="center"/>
          </w:tcPr>
          <w:p w14:paraId="68CD2881">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（1）开标后，采购组织机构将向各投标供应商发出“电子加密投标文件”的解密通知，各投标供应商代表应当在接到解密通知后30分钟内自行完成“电子加密投标文件”的在线解密。</w:t>
            </w:r>
          </w:p>
          <w:p w14:paraId="42D26076">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通过“乐采云平台”成功上传递交的“电子加密投标文件”无法按时解密，投标供应商如按规定递交了“备份投标文件”的，以“备份投标文件”为依据（由采购组织机构按“乐采云平台”操作规范将“备份投标文件”上传至“乐采云平台”，上传成功后，“电子加密投标文件”自动失效），否则视为投标文件撤回。</w:t>
            </w:r>
          </w:p>
          <w:p w14:paraId="36776C08">
            <w:pPr>
              <w:wordWrap w:val="0"/>
              <w:adjustRightIn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（3）投标截止时间前，投标供应商仅递交了“备份投标文件”而未将电子加密投标文件上传至“乐采云平台”的，投标无效。</w:t>
            </w:r>
          </w:p>
        </w:tc>
      </w:tr>
      <w:tr w14:paraId="4740CE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B88704E">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6C3E40C">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投标有效期</w:t>
            </w:r>
          </w:p>
        </w:tc>
        <w:tc>
          <w:tcPr>
            <w:tcW w:w="7469" w:type="dxa"/>
            <w:vAlign w:val="center"/>
          </w:tcPr>
          <w:p w14:paraId="6A9A7024">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提交投标文件截止日起90天内</w:t>
            </w:r>
          </w:p>
        </w:tc>
      </w:tr>
      <w:tr w14:paraId="102816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0072A3B">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76F2981D">
            <w:pPr>
              <w:wordWrap w:val="0"/>
              <w:spacing w:line="360" w:lineRule="auto"/>
              <w:jc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lang w:val="en-US" w:eastAsia="zh-CN"/>
              </w:rPr>
              <w:t>样品（</w:t>
            </w:r>
            <w:r>
              <w:rPr>
                <w:rFonts w:hint="eastAsia" w:ascii="宋体" w:hAnsi="宋体" w:eastAsia="宋体" w:cs="宋体"/>
                <w:color w:val="auto"/>
                <w:sz w:val="22"/>
                <w:szCs w:val="22"/>
                <w:highlight w:val="none"/>
              </w:rPr>
              <w:t>投标演示</w:t>
            </w:r>
            <w:r>
              <w:rPr>
                <w:rFonts w:hint="eastAsia" w:ascii="宋体" w:hAnsi="宋体" w:eastAsia="宋体" w:cs="宋体"/>
                <w:color w:val="auto"/>
                <w:sz w:val="22"/>
                <w:szCs w:val="22"/>
                <w:highlight w:val="none"/>
                <w:lang w:eastAsia="zh-CN"/>
              </w:rPr>
              <w:t>）</w:t>
            </w:r>
          </w:p>
        </w:tc>
        <w:tc>
          <w:tcPr>
            <w:tcW w:w="7469" w:type="dxa"/>
            <w:vAlign w:val="center"/>
          </w:tcPr>
          <w:p w14:paraId="22E457D7">
            <w:pPr>
              <w:wordWrap w:val="0"/>
              <w:adjustRightIn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eq \o\ac(□,√)</w:instrText>
            </w:r>
            <w:r>
              <w:rPr>
                <w:rFonts w:hint="eastAsia" w:ascii="宋体" w:hAnsi="宋体" w:eastAsia="宋体" w:cs="宋体"/>
                <w:color w:val="auto"/>
                <w:highlight w:val="none"/>
              </w:rPr>
              <w:fldChar w:fldCharType="end"/>
            </w:r>
            <w:r>
              <w:rPr>
                <w:rFonts w:hint="eastAsia" w:ascii="宋体" w:hAnsi="宋体" w:eastAsia="宋体" w:cs="宋体"/>
                <w:color w:val="auto"/>
                <w:highlight w:val="none"/>
              </w:rPr>
              <w:t>不需要</w:t>
            </w:r>
          </w:p>
        </w:tc>
      </w:tr>
      <w:tr w14:paraId="49B29B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25187B1">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64132DD5">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履约保证金</w:t>
            </w:r>
          </w:p>
        </w:tc>
        <w:tc>
          <w:tcPr>
            <w:tcW w:w="7469" w:type="dxa"/>
            <w:vAlign w:val="center"/>
          </w:tcPr>
          <w:p w14:paraId="00CFE9A7">
            <w:pPr>
              <w:wordWrap w:val="0"/>
              <w:adjustRightIn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b w:val="0"/>
                <w:color w:val="auto"/>
                <w:sz w:val="22"/>
                <w:szCs w:val="22"/>
                <w:highlight w:val="none"/>
              </w:rPr>
              <w:fldChar w:fldCharType="begin"/>
            </w:r>
            <w:r>
              <w:rPr>
                <w:rFonts w:hint="eastAsia" w:ascii="宋体" w:hAnsi="宋体" w:eastAsia="宋体" w:cs="宋体"/>
                <w:b w:val="0"/>
                <w:color w:val="auto"/>
                <w:sz w:val="22"/>
                <w:szCs w:val="22"/>
                <w:highlight w:val="none"/>
              </w:rPr>
              <w:instrText xml:space="preserve"> eq \o\ac(□,</w:instrText>
            </w:r>
            <w:r>
              <w:rPr>
                <w:rFonts w:hint="eastAsia" w:ascii="宋体" w:hAnsi="宋体" w:eastAsia="宋体" w:cs="宋体"/>
                <w:b w:val="0"/>
                <w:color w:val="auto"/>
                <w:position w:val="2"/>
                <w:sz w:val="15"/>
                <w:szCs w:val="22"/>
                <w:highlight w:val="none"/>
              </w:rPr>
              <w:instrText xml:space="preserve">√</w:instrText>
            </w:r>
            <w:r>
              <w:rPr>
                <w:rFonts w:hint="eastAsia" w:ascii="宋体" w:hAnsi="宋体" w:eastAsia="宋体" w:cs="宋体"/>
                <w:b w:val="0"/>
                <w:color w:val="auto"/>
                <w:sz w:val="22"/>
                <w:szCs w:val="22"/>
                <w:highlight w:val="none"/>
              </w:rPr>
              <w:instrText xml:space="preserve">)</w:instrText>
            </w:r>
            <w:r>
              <w:rPr>
                <w:rFonts w:hint="eastAsia" w:ascii="宋体" w:hAnsi="宋体" w:eastAsia="宋体" w:cs="宋体"/>
                <w:b w:val="0"/>
                <w:color w:val="auto"/>
                <w:sz w:val="22"/>
                <w:szCs w:val="22"/>
                <w:highlight w:val="none"/>
              </w:rPr>
              <w:fldChar w:fldCharType="end"/>
            </w:r>
            <w:r>
              <w:rPr>
                <w:rFonts w:hint="eastAsia" w:ascii="宋体" w:hAnsi="宋体" w:eastAsia="宋体" w:cs="宋体"/>
                <w:color w:val="auto"/>
                <w:sz w:val="22"/>
                <w:szCs w:val="22"/>
                <w:highlight w:val="none"/>
              </w:rPr>
              <w:t>需要</w:t>
            </w:r>
            <w:r>
              <w:rPr>
                <w:rFonts w:hint="eastAsia" w:ascii="宋体" w:hAnsi="宋体" w:eastAsia="宋体" w:cs="宋体"/>
                <w:color w:val="auto"/>
                <w:sz w:val="22"/>
                <w:szCs w:val="22"/>
                <w:highlight w:val="none"/>
                <w:lang w:eastAsia="zh-CN"/>
              </w:rPr>
              <w:t>，合同总价1％的履约保证金（银行转账或银行、担保机构、保险公司出具的保函）</w:t>
            </w:r>
          </w:p>
        </w:tc>
      </w:tr>
      <w:tr w14:paraId="31A044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996DA71">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1CE8BFB5">
            <w:pPr>
              <w:wordWrap w:val="0"/>
              <w:adjustRightIn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投标保证金</w:t>
            </w:r>
          </w:p>
        </w:tc>
        <w:tc>
          <w:tcPr>
            <w:tcW w:w="7469" w:type="dxa"/>
            <w:vAlign w:val="center"/>
          </w:tcPr>
          <w:p w14:paraId="5F8AE551">
            <w:pPr>
              <w:pStyle w:val="2"/>
              <w:wordWrap w:val="0"/>
              <w:spacing w:line="360" w:lineRule="auto"/>
              <w:rPr>
                <w:rFonts w:hint="eastAsia" w:ascii="宋体" w:hAnsi="宋体" w:eastAsia="宋体" w:cs="宋体"/>
                <w:color w:val="auto"/>
                <w:sz w:val="22"/>
                <w:szCs w:val="22"/>
                <w:highlight w:val="none"/>
              </w:rPr>
            </w:pPr>
            <w:bookmarkStart w:id="4" w:name="_Toc25684"/>
            <w:bookmarkStart w:id="5" w:name="_Toc11510"/>
            <w:bookmarkStart w:id="6" w:name="_Toc23023"/>
            <w:bookmarkStart w:id="7" w:name="_Toc26701"/>
            <w:bookmarkStart w:id="8" w:name="_Toc1273"/>
            <w:bookmarkStart w:id="9" w:name="_Toc4572"/>
            <w:r>
              <w:rPr>
                <w:rFonts w:hint="eastAsia" w:ascii="宋体" w:hAnsi="宋体" w:eastAsia="宋体" w:cs="宋体"/>
                <w:b w:val="0"/>
                <w:color w:val="auto"/>
                <w:sz w:val="22"/>
                <w:szCs w:val="22"/>
                <w:highlight w:val="none"/>
              </w:rPr>
              <w:fldChar w:fldCharType="begin"/>
            </w:r>
            <w:r>
              <w:rPr>
                <w:rFonts w:hint="eastAsia" w:ascii="宋体" w:hAnsi="宋体" w:eastAsia="宋体" w:cs="宋体"/>
                <w:b w:val="0"/>
                <w:color w:val="auto"/>
                <w:sz w:val="22"/>
                <w:szCs w:val="22"/>
                <w:highlight w:val="none"/>
              </w:rPr>
              <w:instrText xml:space="preserve"> eq \o\ac(□,</w:instrText>
            </w:r>
            <w:r>
              <w:rPr>
                <w:rFonts w:hint="eastAsia" w:ascii="宋体" w:hAnsi="宋体" w:eastAsia="宋体" w:cs="宋体"/>
                <w:b w:val="0"/>
                <w:color w:val="auto"/>
                <w:position w:val="2"/>
                <w:sz w:val="15"/>
                <w:szCs w:val="22"/>
                <w:highlight w:val="none"/>
              </w:rPr>
              <w:instrText xml:space="preserve">√</w:instrText>
            </w:r>
            <w:r>
              <w:rPr>
                <w:rFonts w:hint="eastAsia" w:ascii="宋体" w:hAnsi="宋体" w:eastAsia="宋体" w:cs="宋体"/>
                <w:b w:val="0"/>
                <w:color w:val="auto"/>
                <w:sz w:val="22"/>
                <w:szCs w:val="22"/>
                <w:highlight w:val="none"/>
              </w:rPr>
              <w:instrText xml:space="preserve">)</w:instrText>
            </w:r>
            <w:r>
              <w:rPr>
                <w:rFonts w:hint="eastAsia" w:ascii="宋体" w:hAnsi="宋体" w:eastAsia="宋体" w:cs="宋体"/>
                <w:b w:val="0"/>
                <w:color w:val="auto"/>
                <w:sz w:val="22"/>
                <w:szCs w:val="22"/>
                <w:highlight w:val="none"/>
              </w:rPr>
              <w:fldChar w:fldCharType="end"/>
            </w:r>
            <w:r>
              <w:rPr>
                <w:rFonts w:hint="eastAsia" w:ascii="宋体" w:hAnsi="宋体" w:eastAsia="宋体" w:cs="宋体"/>
                <w:b w:val="0"/>
                <w:color w:val="auto"/>
                <w:sz w:val="22"/>
                <w:szCs w:val="22"/>
                <w:highlight w:val="none"/>
              </w:rPr>
              <w:t>不需要</w:t>
            </w:r>
            <w:bookmarkEnd w:id="4"/>
            <w:bookmarkEnd w:id="5"/>
            <w:bookmarkEnd w:id="6"/>
            <w:bookmarkEnd w:id="7"/>
            <w:bookmarkEnd w:id="8"/>
            <w:bookmarkEnd w:id="9"/>
          </w:p>
        </w:tc>
      </w:tr>
      <w:tr w14:paraId="1B391A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4ECD03B">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DA52A12">
            <w:pPr>
              <w:wordWrap w:val="0"/>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质疑受理联系方式</w:t>
            </w:r>
          </w:p>
        </w:tc>
        <w:tc>
          <w:tcPr>
            <w:tcW w:w="7469" w:type="dxa"/>
            <w:vAlign w:val="center"/>
          </w:tcPr>
          <w:p w14:paraId="6E8D4567">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代理机构名称</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新征程（杭州）招标代理有限公司</w:t>
            </w:r>
          </w:p>
          <w:p w14:paraId="36C0F88F">
            <w:pPr>
              <w:wordWrap w:val="0"/>
              <w:snapToGrid w:val="0"/>
              <w:spacing w:line="360" w:lineRule="auto"/>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机构地址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kern w:val="0"/>
                <w:sz w:val="22"/>
                <w:szCs w:val="22"/>
                <w:highlight w:val="none"/>
                <w:lang w:eastAsia="zh-CN"/>
              </w:rPr>
              <w:t>平阳县昆阳镇汉森世家1栋1单元902室</w:t>
            </w:r>
          </w:p>
          <w:p w14:paraId="658EF1F1">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 系 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李先生</w:t>
            </w:r>
          </w:p>
          <w:p w14:paraId="68A51E1B">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联系电话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13029688868</w:t>
            </w:r>
          </w:p>
        </w:tc>
      </w:tr>
      <w:tr w14:paraId="1309FF2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187FA5E1">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A45FB21">
            <w:pPr>
              <w:wordWrap w:val="0"/>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w:t>
            </w:r>
          </w:p>
        </w:tc>
        <w:tc>
          <w:tcPr>
            <w:tcW w:w="7469" w:type="dxa"/>
            <w:vAlign w:val="center"/>
          </w:tcPr>
          <w:p w14:paraId="3856B98F">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平阳县县属国有企业采购管理办法（试行）》的规定，供应商认为采购文件、采购过程、中标和成交结果使自己的合法权益受到损害的，应当首先依法向采购人、采购代理机构提出质疑。投标供应商认为国有企业答疑回复处理结果不合法的，可以采购人或代理机构为对象依法向人民法院提起诉讼。</w:t>
            </w:r>
          </w:p>
        </w:tc>
      </w:tr>
      <w:tr w14:paraId="0917F6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1B3B6D4">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60B04526">
            <w:pPr>
              <w:wordWrap w:val="0"/>
              <w:snapToGrid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投诉受理联系方式</w:t>
            </w:r>
          </w:p>
        </w:tc>
        <w:tc>
          <w:tcPr>
            <w:tcW w:w="7469" w:type="dxa"/>
            <w:vAlign w:val="center"/>
          </w:tcPr>
          <w:p w14:paraId="43C3F397">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同级采购监督管理部门名称</w:t>
            </w:r>
            <w:r>
              <w:rPr>
                <w:rFonts w:hint="eastAsia" w:ascii="宋体" w:hAnsi="宋体" w:eastAsia="宋体" w:cs="宋体"/>
                <w:color w:val="auto"/>
                <w:sz w:val="22"/>
                <w:szCs w:val="22"/>
                <w:highlight w:val="none"/>
                <w:lang w:eastAsia="zh-CN"/>
              </w:rPr>
              <w:t>：平阳县兴阳控股集团有限公司</w:t>
            </w:r>
          </w:p>
          <w:p w14:paraId="6131F84F">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联系人</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lang w:val="en-US" w:eastAsia="zh-CN"/>
              </w:rPr>
              <w:t>张</w:t>
            </w:r>
            <w:r>
              <w:rPr>
                <w:rFonts w:hint="eastAsia" w:ascii="宋体" w:hAnsi="宋体" w:eastAsia="宋体" w:cs="宋体"/>
                <w:color w:val="auto"/>
                <w:sz w:val="22"/>
                <w:szCs w:val="22"/>
                <w:highlight w:val="none"/>
              </w:rPr>
              <w:t>先生</w:t>
            </w:r>
          </w:p>
          <w:p w14:paraId="423D7C2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监督投诉电话</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0577-63168022</w:t>
            </w:r>
          </w:p>
          <w:p w14:paraId="0435CB13">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地 址</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平阳县昆阳镇公园路5号</w:t>
            </w:r>
          </w:p>
        </w:tc>
      </w:tr>
      <w:tr w14:paraId="2B0408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AB5988E">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632666A1">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投标截止时间</w:t>
            </w:r>
          </w:p>
        </w:tc>
        <w:tc>
          <w:tcPr>
            <w:tcW w:w="7469" w:type="dxa"/>
            <w:vAlign w:val="center"/>
          </w:tcPr>
          <w:p w14:paraId="3A9ED0D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lang w:val="en-US" w:eastAsia="zh-CN"/>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eastAsia="宋体" w:cs="宋体"/>
                <w:color w:val="auto"/>
                <w:sz w:val="22"/>
                <w:szCs w:val="22"/>
                <w:highlight w:val="none"/>
                <w:shd w:val="clear" w:color="auto" w:fill="FFFFFF"/>
                <w:lang w:val="en-US" w:eastAsia="zh-CN"/>
              </w:rPr>
              <w:t>日</w:t>
            </w:r>
            <w:r>
              <w:rPr>
                <w:rFonts w:hint="eastAsia" w:ascii="宋体" w:hAnsi="宋体" w:eastAsia="宋体" w:cs="宋体"/>
                <w:color w:val="auto"/>
                <w:sz w:val="22"/>
                <w:szCs w:val="22"/>
                <w:highlight w:val="none"/>
                <w:shd w:val="clear" w:color="auto" w:fill="FFFFFF"/>
              </w:rPr>
              <w:t>09:30</w:t>
            </w:r>
            <w:r>
              <w:rPr>
                <w:rFonts w:hint="eastAsia" w:ascii="宋体" w:hAnsi="宋体" w:eastAsia="宋体" w:cs="宋体"/>
                <w:color w:val="auto"/>
                <w:sz w:val="22"/>
                <w:szCs w:val="22"/>
                <w:highlight w:val="none"/>
              </w:rPr>
              <w:t>截止(北京时间)。</w:t>
            </w:r>
          </w:p>
        </w:tc>
      </w:tr>
      <w:tr w14:paraId="00135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456C081">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739413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w:t>
            </w:r>
          </w:p>
          <w:p w14:paraId="08876226">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评审地点</w:t>
            </w:r>
          </w:p>
        </w:tc>
        <w:tc>
          <w:tcPr>
            <w:tcW w:w="7469" w:type="dxa"/>
            <w:vAlign w:val="center"/>
          </w:tcPr>
          <w:p w14:paraId="45A93B90">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开标时间</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shd w:val="clear" w:color="auto" w:fill="FFFFFF"/>
                <w:lang w:eastAsia="zh-CN"/>
              </w:rPr>
              <w:t>2026年</w:t>
            </w:r>
            <w:r>
              <w:rPr>
                <w:rFonts w:hint="eastAsia" w:ascii="宋体" w:hAnsi="宋体" w:cs="宋体"/>
                <w:color w:val="auto"/>
                <w:sz w:val="22"/>
                <w:szCs w:val="22"/>
                <w:highlight w:val="none"/>
                <w:shd w:val="clear" w:color="auto" w:fill="FFFFFF"/>
                <w:lang w:val="en-US" w:eastAsia="zh-CN"/>
              </w:rPr>
              <w:t>6</w:t>
            </w:r>
            <w:r>
              <w:rPr>
                <w:rFonts w:hint="eastAsia" w:ascii="宋体" w:hAnsi="宋体" w:eastAsia="宋体" w:cs="宋体"/>
                <w:color w:val="auto"/>
                <w:sz w:val="22"/>
                <w:szCs w:val="22"/>
                <w:highlight w:val="none"/>
                <w:shd w:val="clear" w:color="auto" w:fill="FFFFFF"/>
                <w:lang w:val="en-US" w:eastAsia="zh-CN"/>
              </w:rPr>
              <w:t>月</w:t>
            </w:r>
            <w:r>
              <w:rPr>
                <w:rFonts w:hint="eastAsia" w:ascii="宋体" w:hAnsi="宋体" w:cs="宋体"/>
                <w:color w:val="auto"/>
                <w:sz w:val="22"/>
                <w:szCs w:val="22"/>
                <w:highlight w:val="none"/>
                <w:shd w:val="clear" w:color="auto" w:fill="FFFFFF"/>
                <w:lang w:val="en-US" w:eastAsia="zh-CN"/>
              </w:rPr>
              <w:t>30</w:t>
            </w:r>
            <w:r>
              <w:rPr>
                <w:rFonts w:hint="eastAsia" w:ascii="宋体" w:hAnsi="宋体" w:eastAsia="宋体" w:cs="宋体"/>
                <w:color w:val="auto"/>
                <w:sz w:val="22"/>
                <w:szCs w:val="22"/>
                <w:highlight w:val="none"/>
                <w:shd w:val="clear" w:color="auto" w:fill="FFFFFF"/>
                <w:lang w:val="en-US" w:eastAsia="zh-CN"/>
              </w:rPr>
              <w:t>日</w:t>
            </w:r>
            <w:r>
              <w:rPr>
                <w:rFonts w:hint="eastAsia" w:ascii="宋体" w:hAnsi="宋体" w:eastAsia="宋体" w:cs="宋体"/>
                <w:color w:val="auto"/>
                <w:sz w:val="22"/>
                <w:szCs w:val="22"/>
                <w:highlight w:val="none"/>
                <w:shd w:val="clear" w:color="auto" w:fill="FFFFFF"/>
              </w:rPr>
              <w:t>09:30</w:t>
            </w:r>
            <w:r>
              <w:rPr>
                <w:rFonts w:hint="eastAsia" w:ascii="宋体" w:hAnsi="宋体" w:eastAsia="宋体" w:cs="宋体"/>
                <w:color w:val="auto"/>
                <w:sz w:val="22"/>
                <w:szCs w:val="22"/>
                <w:highlight w:val="none"/>
              </w:rPr>
              <w:t xml:space="preserve"> (北京时间)</w:t>
            </w:r>
          </w:p>
          <w:p w14:paraId="77DB060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开标地点</w:t>
            </w:r>
            <w:r>
              <w:rPr>
                <w:rFonts w:hint="eastAsia" w:ascii="宋体" w:hAnsi="宋体" w:eastAsia="宋体" w:cs="宋体"/>
                <w:color w:val="auto"/>
                <w:sz w:val="22"/>
                <w:szCs w:val="22"/>
                <w:highlight w:val="none"/>
                <w:lang w:eastAsia="zh-CN"/>
              </w:rPr>
              <w:t>：</w:t>
            </w:r>
            <w:r>
              <w:rPr>
                <w:rFonts w:hint="eastAsia" w:ascii="宋体" w:hAnsi="宋体" w:cs="宋体"/>
                <w:color w:val="auto"/>
                <w:sz w:val="22"/>
                <w:szCs w:val="22"/>
                <w:highlight w:val="none"/>
                <w:lang w:eastAsia="zh-CN"/>
              </w:rPr>
              <w:t>平阳县公共资源交易中心评标室</w:t>
            </w:r>
            <w:r>
              <w:rPr>
                <w:rFonts w:hint="eastAsia" w:ascii="宋体" w:hAnsi="宋体" w:eastAsia="宋体" w:cs="宋体"/>
                <w:color w:val="auto"/>
                <w:sz w:val="22"/>
                <w:szCs w:val="22"/>
                <w:highlight w:val="none"/>
              </w:rPr>
              <w:t>。</w:t>
            </w:r>
          </w:p>
        </w:tc>
      </w:tr>
      <w:tr w14:paraId="131B1F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358E641F">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DB9FEB7">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评审委员会的</w:t>
            </w:r>
          </w:p>
          <w:p w14:paraId="6B0E78D3">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组建</w:t>
            </w:r>
          </w:p>
        </w:tc>
        <w:tc>
          <w:tcPr>
            <w:tcW w:w="7469" w:type="dxa"/>
            <w:vAlign w:val="center"/>
          </w:tcPr>
          <w:p w14:paraId="737E3C8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评标委员会构成</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采购人依法组建，成员人数应当为</w:t>
            </w:r>
            <w:r>
              <w:rPr>
                <w:rFonts w:hint="eastAsia" w:ascii="宋体" w:hAnsi="宋体" w:cs="宋体"/>
                <w:color w:val="auto"/>
                <w:sz w:val="22"/>
                <w:szCs w:val="22"/>
                <w:highlight w:val="none"/>
                <w:lang w:val="en-US" w:eastAsia="zh-CN"/>
              </w:rPr>
              <w:t>5</w:t>
            </w:r>
            <w:r>
              <w:rPr>
                <w:rFonts w:hint="eastAsia" w:ascii="宋体" w:hAnsi="宋体" w:eastAsia="宋体" w:cs="宋体"/>
                <w:color w:val="auto"/>
                <w:sz w:val="22"/>
                <w:szCs w:val="22"/>
                <w:highlight w:val="none"/>
              </w:rPr>
              <w:t>人及以上单数，其中评审专家不得少于成员总数的三分之二；评审专家确定方式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按相关规定从专家库中抽取。</w:t>
            </w:r>
          </w:p>
        </w:tc>
      </w:tr>
      <w:tr w14:paraId="6304BA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06E651D">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7CB8DF6E">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供应商信用查询</w:t>
            </w:r>
          </w:p>
        </w:tc>
        <w:tc>
          <w:tcPr>
            <w:tcW w:w="7469" w:type="dxa"/>
            <w:vAlign w:val="center"/>
          </w:tcPr>
          <w:p w14:paraId="40BF2E1A">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1、投标供应商信用信息查询的查询渠道</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“信用中国”(</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HYPERLINK "http://www.creditchina.gov.cn"</w:instrText>
            </w:r>
            <w:r>
              <w:rPr>
                <w:rFonts w:hint="eastAsia" w:ascii="宋体" w:hAnsi="宋体" w:eastAsia="宋体" w:cs="宋体"/>
                <w:color w:val="auto"/>
                <w:sz w:val="21"/>
                <w:szCs w:val="24"/>
                <w:highlight w:val="none"/>
              </w:rPr>
              <w:fldChar w:fldCharType="separate"/>
            </w:r>
            <w:r>
              <w:rPr>
                <w:rFonts w:hint="eastAsia" w:ascii="宋体" w:hAnsi="宋体" w:eastAsia="宋体" w:cs="宋体"/>
                <w:color w:val="auto"/>
                <w:sz w:val="22"/>
                <w:szCs w:val="22"/>
                <w:highlight w:val="none"/>
              </w:rPr>
              <w:t>www.creditchina.gov.cn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)；“中国政府采购网”（http://www.ccgp.gov.cn/）；</w:t>
            </w:r>
          </w:p>
          <w:p w14:paraId="54A45DF0">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2、投标供应商信用信息查询截止时点</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至本项目投标截止时间前均可。</w:t>
            </w:r>
          </w:p>
          <w:p w14:paraId="0A58B0DB">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3、投标供应商信用信息查询记录和证据留存的具体方式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网页截图打印；</w:t>
            </w:r>
          </w:p>
          <w:p w14:paraId="65E31644">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4、信用信息的使用规则</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截止评标当日，经查询“信用中国”等网站，存在列入失信被执行人、重大税收违法案件当事人名单、政府采购严重违法失信行为记录名单及其他不符合《平阳县县属国有企业采购管理办法（试行）》第十四条规定条件的供应商，其投标做无效投标处理。</w:t>
            </w:r>
          </w:p>
        </w:tc>
      </w:tr>
      <w:tr w14:paraId="0DAC8E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45A0C72">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026C89E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合同备案</w:t>
            </w:r>
          </w:p>
        </w:tc>
        <w:tc>
          <w:tcPr>
            <w:tcW w:w="7469" w:type="dxa"/>
            <w:vAlign w:val="center"/>
          </w:tcPr>
          <w:p w14:paraId="27F10970">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1、中标供应商须在中标通知书发出之日起30日内与采购人签订合同。</w:t>
            </w:r>
          </w:p>
          <w:p w14:paraId="22FE9B67">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2、中标供应商与采购人签订合同后，2日历天内将合同扫描件电子版发给新征程（杭州）招标代理有限公司</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邮箱</w:t>
            </w:r>
            <w:r>
              <w:rPr>
                <w:rFonts w:hint="eastAsia" w:ascii="宋体" w:hAnsi="宋体" w:eastAsia="宋体" w:cs="宋体"/>
                <w:color w:val="auto"/>
                <w:sz w:val="22"/>
                <w:szCs w:val="22"/>
                <w:highlight w:val="none"/>
                <w:lang w:eastAsia="zh-CN"/>
              </w:rPr>
              <w:t>：</w:t>
            </w:r>
            <w:r>
              <w:rPr>
                <w:rStyle w:val="39"/>
                <w:rFonts w:hint="eastAsia" w:ascii="宋体" w:hAnsi="宋体" w:eastAsia="宋体" w:cs="宋体"/>
                <w:color w:val="auto"/>
                <w:sz w:val="22"/>
                <w:szCs w:val="22"/>
                <w:highlight w:val="none"/>
              </w:rPr>
              <w:t>250785507@qq.com</w:t>
            </w:r>
            <w:r>
              <w:rPr>
                <w:rFonts w:hint="eastAsia" w:ascii="宋体" w:hAnsi="宋体" w:eastAsia="宋体" w:cs="宋体"/>
                <w:color w:val="auto"/>
                <w:sz w:val="22"/>
                <w:szCs w:val="22"/>
                <w:highlight w:val="none"/>
              </w:rPr>
              <w:t>；</w:t>
            </w:r>
          </w:p>
          <w:p w14:paraId="3E58A3EC">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3、本项目国企采购合同按规定在浙江政府采购网（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"http://www.zjzfcg.gov.cn"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2"/>
                <w:szCs w:val="22"/>
                <w:highlight w:val="none"/>
              </w:rPr>
              <w:t>http://www.zjzfcg.gov.cn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）予以公告。</w:t>
            </w:r>
          </w:p>
        </w:tc>
      </w:tr>
      <w:tr w14:paraId="1EE595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2160AE50">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2A5E59D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合同履约管理</w:t>
            </w:r>
          </w:p>
        </w:tc>
        <w:tc>
          <w:tcPr>
            <w:tcW w:w="7469" w:type="dxa"/>
            <w:vAlign w:val="center"/>
          </w:tcPr>
          <w:p w14:paraId="0EFA5147">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合同签订后，采购人依法加强对合同履约进行管理，并在中标单位供货、项目验收等重要关节，如实填写《合同验收报告》（或考核资料），并及时向同级财政部门报告验收过程中遇到的问题。</w:t>
            </w:r>
          </w:p>
        </w:tc>
      </w:tr>
      <w:tr w14:paraId="0B9275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56863080">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5E6729E0">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免则声明</w:t>
            </w:r>
          </w:p>
        </w:tc>
        <w:tc>
          <w:tcPr>
            <w:tcW w:w="7469" w:type="dxa"/>
            <w:vAlign w:val="center"/>
          </w:tcPr>
          <w:p w14:paraId="53BAE0D1">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1、投标供应商自行承担投标过程中产生的费用。无论何种因素导致采购项目延期开标、废标（流标）、投标供应商未中标、项目终止采购的，采购人与代理机构均不承担供应商投标费用。</w:t>
            </w:r>
          </w:p>
          <w:p w14:paraId="0BBF6729">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2、投标供应商在投标、合同履行过程中必须做好安全保障工作，不因项目实施而危及自身及第三方人员、财产安全。若发生任何安全事故，由中标供应商自行承担一切责任并赔偿损失。</w:t>
            </w:r>
          </w:p>
        </w:tc>
      </w:tr>
      <w:tr w14:paraId="5EE12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41A9F497">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6A72BAC9">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解释权</w:t>
            </w:r>
          </w:p>
        </w:tc>
        <w:tc>
          <w:tcPr>
            <w:tcW w:w="7469" w:type="dxa"/>
            <w:vAlign w:val="center"/>
          </w:tcPr>
          <w:p w14:paraId="66947034">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构成本采购文件的各个组成文件应互为解释，互为说明；如有不明确或不一致，构成合同文件组成内容的，以合同文件约定内容为准，且以专用合同条款约定的合同文件优先顺序解释；仅适用于招标投标阶段的约定，按招标公告、投标供应商须知、评标办法、投标文件格式的先后顺序解释；同一文件中就同一事项的约定不一致的，以逻辑顺序在后者为准；同一文件不同版本之间有不一致的，以形成时间在后者为准。按本款前述约定仍不能形成结论的，由采购人负责解释。</w:t>
            </w:r>
          </w:p>
        </w:tc>
      </w:tr>
      <w:tr w14:paraId="20FC57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57" w:type="dxa"/>
            <w:left w:w="108" w:type="dxa"/>
            <w:bottom w:w="57" w:type="dxa"/>
            <w:right w:w="108" w:type="dxa"/>
          </w:tblCellMar>
        </w:tblPrEx>
        <w:trPr>
          <w:trHeight w:val="57" w:hRule="atLeast"/>
          <w:jc w:val="center"/>
        </w:trPr>
        <w:tc>
          <w:tcPr>
            <w:tcW w:w="842" w:type="dxa"/>
            <w:vAlign w:val="center"/>
          </w:tcPr>
          <w:p w14:paraId="09C3B6F8">
            <w:pPr>
              <w:widowControl/>
              <w:numPr>
                <w:ilvl w:val="0"/>
                <w:numId w:val="1"/>
              </w:numPr>
              <w:tabs>
                <w:tab w:val="left" w:pos="420"/>
                <w:tab w:val="clear" w:pos="0"/>
              </w:tabs>
              <w:spacing w:line="360" w:lineRule="auto"/>
              <w:ind w:left="720" w:leftChars="0" w:hanging="720" w:firstLineChars="0"/>
              <w:jc w:val="center"/>
              <w:rPr>
                <w:rFonts w:hint="eastAsia" w:ascii="宋体" w:hAnsi="宋体" w:eastAsia="宋体" w:cs="宋体"/>
                <w:color w:val="auto"/>
                <w:sz w:val="22"/>
                <w:szCs w:val="22"/>
                <w:highlight w:val="none"/>
              </w:rPr>
            </w:pPr>
          </w:p>
        </w:tc>
        <w:tc>
          <w:tcPr>
            <w:tcW w:w="1553" w:type="dxa"/>
            <w:vAlign w:val="center"/>
          </w:tcPr>
          <w:p w14:paraId="6BE5237C">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特别说明</w:t>
            </w:r>
          </w:p>
        </w:tc>
        <w:tc>
          <w:tcPr>
            <w:tcW w:w="7469" w:type="dxa"/>
            <w:vAlign w:val="center"/>
          </w:tcPr>
          <w:p w14:paraId="53A01B8F">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b/>
                <w:bCs/>
                <w:color w:val="auto"/>
                <w:sz w:val="22"/>
                <w:szCs w:val="22"/>
                <w:highlight w:val="none"/>
              </w:rPr>
              <w:t>▲中标供应商在合同签订前，采购人有权要求中标供应商提供其投标文件中的相关文件资料的原件进行审核；如无法提供原件或提供的原件与其投标文件中的不符，采购人有权取消其中标资格，并提交主管部门处理。</w:t>
            </w:r>
          </w:p>
        </w:tc>
      </w:tr>
    </w:tbl>
    <w:p w14:paraId="70D8C267">
      <w:pPr>
        <w:pStyle w:val="9"/>
        <w:wordWrap w:val="0"/>
        <w:spacing w:line="360" w:lineRule="auto"/>
        <w:rPr>
          <w:rFonts w:hint="eastAsia" w:ascii="宋体" w:hAnsi="宋体" w:eastAsia="宋体" w:cs="宋体"/>
          <w:color w:val="auto"/>
          <w:highlight w:val="none"/>
        </w:rPr>
        <w:sectPr>
          <w:footerReference r:id="rId4" w:type="default"/>
          <w:pgSz w:w="11906" w:h="16838"/>
          <w:pgMar w:top="1440" w:right="1080" w:bottom="1440" w:left="1080" w:header="851" w:footer="992" w:gutter="0"/>
          <w:pgNumType w:start="1"/>
          <w:cols w:space="720" w:num="1"/>
          <w:docGrid w:linePitch="312" w:charSpace="0"/>
        </w:sectPr>
      </w:pPr>
    </w:p>
    <w:p w14:paraId="12B104FE">
      <w:pPr>
        <w:wordWrap w:val="0"/>
        <w:autoSpaceDE w:val="0"/>
        <w:autoSpaceDN w:val="0"/>
        <w:spacing w:line="360" w:lineRule="auto"/>
        <w:jc w:val="center"/>
        <w:textAlignment w:val="bottom"/>
        <w:rPr>
          <w:rFonts w:hint="eastAsia" w:ascii="宋体" w:hAnsi="宋体" w:eastAsia="宋体" w:cs="宋体"/>
          <w:color w:val="auto"/>
          <w:sz w:val="28"/>
          <w:highlight w:val="none"/>
        </w:rPr>
      </w:pPr>
      <w:r>
        <w:rPr>
          <w:rFonts w:hint="eastAsia" w:ascii="宋体" w:hAnsi="宋体" w:eastAsia="宋体" w:cs="宋体"/>
          <w:color w:val="auto"/>
          <w:sz w:val="36"/>
          <w:highlight w:val="none"/>
        </w:rPr>
        <w:t>采购文件目录</w:t>
      </w:r>
    </w:p>
    <w:p w14:paraId="17D5664D">
      <w:pPr>
        <w:spacing w:line="480" w:lineRule="auto"/>
        <w:jc w:val="center"/>
        <w:rPr>
          <w:rFonts w:hint="eastAsia" w:ascii="宋体" w:hAnsi="宋体" w:eastAsia="宋体" w:cs="宋体"/>
          <w:color w:val="auto"/>
          <w:sz w:val="24"/>
          <w:highlight w:val="none"/>
        </w:rPr>
      </w:pPr>
    </w:p>
    <w:p w14:paraId="33773CCE">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TOC \o "1-2" \h \u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_Toc31178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第一部分 项目简介</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_Toc31178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214F69B0">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_Toc12332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第二部分 采购内容及技术要求</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_Toc12332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10</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8ED2E29">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_Toc28018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lang w:val="zh-CN"/>
        </w:rPr>
        <w:t>第三部分</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zh-CN"/>
        </w:rPr>
        <w:t>供应商须知</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_Toc28018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15</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4B7ED326">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_Toc32120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四</w:t>
      </w:r>
      <w:r>
        <w:rPr>
          <w:rFonts w:hint="eastAsia" w:ascii="宋体" w:hAnsi="宋体" w:eastAsia="宋体" w:cs="宋体"/>
          <w:color w:val="auto"/>
          <w:sz w:val="24"/>
          <w:szCs w:val="24"/>
          <w:highlight w:val="none"/>
        </w:rPr>
        <w:t>部分 合同格式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_Toc32120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1AF32F1C">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_Toc3480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第</w:t>
      </w:r>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部分 附件—投标文件格式</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_Toc3480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26</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502D5DB1">
      <w:pPr>
        <w:pStyle w:val="20"/>
        <w:tabs>
          <w:tab w:val="right" w:leader="dot" w:pos="9350"/>
        </w:tabs>
        <w:spacing w:line="48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_Toc991 </w:instrText>
      </w:r>
      <w:r>
        <w:rPr>
          <w:rFonts w:hint="eastAsia" w:ascii="宋体" w:hAnsi="宋体" w:eastAsia="宋体" w:cs="宋体"/>
          <w:color w:val="auto"/>
          <w:sz w:val="24"/>
          <w:szCs w:val="24"/>
          <w:highlight w:val="none"/>
        </w:rPr>
        <w:fldChar w:fldCharType="separate"/>
      </w:r>
      <w:r>
        <w:rPr>
          <w:rFonts w:hint="eastAsia" w:ascii="宋体" w:hAnsi="宋体" w:eastAsia="宋体" w:cs="宋体"/>
          <w:bCs/>
          <w:color w:val="auto"/>
          <w:sz w:val="24"/>
          <w:szCs w:val="24"/>
          <w:highlight w:val="none"/>
        </w:rPr>
        <w:t>第</w:t>
      </w:r>
      <w:r>
        <w:rPr>
          <w:rFonts w:hint="eastAsia" w:ascii="宋体" w:hAnsi="宋体" w:eastAsia="宋体" w:cs="宋体"/>
          <w:bCs/>
          <w:color w:val="auto"/>
          <w:sz w:val="24"/>
          <w:szCs w:val="24"/>
          <w:highlight w:val="none"/>
          <w:lang w:val="en-US" w:eastAsia="zh-CN"/>
        </w:rPr>
        <w:t>六</w:t>
      </w:r>
      <w:r>
        <w:rPr>
          <w:rFonts w:hint="eastAsia" w:ascii="宋体" w:hAnsi="宋体" w:eastAsia="宋体" w:cs="宋体"/>
          <w:bCs/>
          <w:color w:val="auto"/>
          <w:sz w:val="24"/>
          <w:szCs w:val="24"/>
          <w:highlight w:val="none"/>
        </w:rPr>
        <w:t>部分 评标办法</w:t>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PAGEREF _Toc991 \h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53</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fldChar w:fldCharType="end"/>
      </w:r>
    </w:p>
    <w:p w14:paraId="73DD89F2">
      <w:pPr>
        <w:pStyle w:val="13"/>
        <w:wordWrap w:val="0"/>
        <w:spacing w:before="0" w:beforeLines="0" w:after="0" w:afterLines="0" w:line="480" w:lineRule="auto"/>
        <w:ind w:left="0" w:firstLine="0" w:firstLineChars="0"/>
        <w:rPr>
          <w:rFonts w:hint="eastAsia" w:ascii="宋体" w:hAnsi="宋体" w:eastAsia="宋体" w:cs="宋体"/>
          <w:color w:val="auto"/>
          <w:sz w:val="36"/>
          <w:szCs w:val="36"/>
          <w:highlight w:val="none"/>
        </w:rPr>
      </w:pPr>
      <w:r>
        <w:rPr>
          <w:rFonts w:hint="eastAsia" w:ascii="宋体" w:hAnsi="宋体" w:eastAsia="宋体" w:cs="宋体"/>
          <w:color w:val="auto"/>
          <w:sz w:val="24"/>
          <w:szCs w:val="24"/>
          <w:highlight w:val="none"/>
        </w:rPr>
        <w:fldChar w:fldCharType="end"/>
      </w:r>
    </w:p>
    <w:p w14:paraId="77103C84">
      <w:pPr>
        <w:pStyle w:val="13"/>
        <w:wordWrap w:val="0"/>
        <w:spacing w:before="0" w:beforeLines="0" w:after="0" w:afterLines="0" w:line="480" w:lineRule="auto"/>
        <w:ind w:left="0" w:firstLine="0" w:firstLineChars="0"/>
        <w:rPr>
          <w:rFonts w:hint="eastAsia" w:ascii="宋体" w:hAnsi="宋体" w:eastAsia="宋体" w:cs="宋体"/>
          <w:color w:val="auto"/>
          <w:sz w:val="28"/>
          <w:szCs w:val="28"/>
          <w:highlight w:val="none"/>
        </w:rPr>
      </w:pPr>
    </w:p>
    <w:p w14:paraId="009D4525">
      <w:pPr>
        <w:pStyle w:val="13"/>
        <w:wordWrap w:val="0"/>
        <w:spacing w:before="0" w:beforeLines="0" w:after="0" w:afterLines="0" w:line="360" w:lineRule="auto"/>
        <w:ind w:left="0" w:firstLine="0" w:firstLineChars="0"/>
        <w:rPr>
          <w:rFonts w:hint="eastAsia" w:ascii="宋体" w:hAnsi="宋体" w:eastAsia="宋体" w:cs="宋体"/>
          <w:color w:val="auto"/>
          <w:highlight w:val="none"/>
        </w:rPr>
      </w:pPr>
    </w:p>
    <w:p w14:paraId="199C8C16">
      <w:pPr>
        <w:pStyle w:val="13"/>
        <w:wordWrap w:val="0"/>
        <w:spacing w:before="0" w:beforeLines="0" w:after="0" w:afterLines="0" w:line="360" w:lineRule="auto"/>
        <w:ind w:left="0" w:firstLine="0" w:firstLineChars="0"/>
        <w:rPr>
          <w:rFonts w:hint="eastAsia" w:ascii="宋体" w:hAnsi="宋体" w:eastAsia="宋体" w:cs="宋体"/>
          <w:color w:val="auto"/>
          <w:highlight w:val="none"/>
        </w:rPr>
      </w:pPr>
    </w:p>
    <w:p w14:paraId="5CF8E4CD">
      <w:pPr>
        <w:wordWrap w:val="0"/>
        <w:autoSpaceDE w:val="0"/>
        <w:autoSpaceDN w:val="0"/>
        <w:adjustRightInd w:val="0"/>
        <w:snapToGrid w:val="0"/>
        <w:spacing w:line="360" w:lineRule="auto"/>
        <w:jc w:val="center"/>
        <w:textAlignment w:val="bottom"/>
        <w:outlineLvl w:val="0"/>
        <w:rPr>
          <w:rFonts w:hint="eastAsia" w:ascii="宋体" w:hAnsi="宋体" w:eastAsia="宋体" w:cs="宋体"/>
          <w:b/>
          <w:color w:val="auto"/>
          <w:sz w:val="36"/>
          <w:highlight w:val="none"/>
          <w:lang w:val="zh-CN"/>
        </w:rPr>
      </w:pPr>
      <w:r>
        <w:rPr>
          <w:rFonts w:hint="eastAsia" w:ascii="宋体" w:hAnsi="宋体" w:eastAsia="宋体" w:cs="宋体"/>
          <w:b/>
          <w:color w:val="auto"/>
          <w:sz w:val="36"/>
          <w:highlight w:val="none"/>
          <w:lang w:val="zh-CN"/>
        </w:rPr>
        <w:br w:type="page"/>
      </w:r>
      <w:bookmarkStart w:id="10" w:name="_Toc31178"/>
      <w:r>
        <w:rPr>
          <w:rFonts w:hint="eastAsia" w:ascii="宋体" w:hAnsi="宋体" w:eastAsia="宋体" w:cs="宋体"/>
          <w:b/>
          <w:color w:val="auto"/>
          <w:sz w:val="36"/>
          <w:highlight w:val="none"/>
          <w:lang w:val="zh-CN"/>
        </w:rPr>
        <w:t>第一部分 项目简介</w:t>
      </w:r>
      <w:bookmarkEnd w:id="10"/>
    </w:p>
    <w:p w14:paraId="7497FC90">
      <w:pPr>
        <w:pStyle w:val="21"/>
        <w:wordWrap w:val="0"/>
        <w:adjustRightInd w:val="0"/>
        <w:snapToGrid w:val="0"/>
        <w:spacing w:line="360" w:lineRule="auto"/>
        <w:ind w:firstLine="0" w:firstLineChars="0"/>
        <w:outlineLvl w:val="9"/>
        <w:rPr>
          <w:rFonts w:hint="eastAsia" w:ascii="宋体" w:hAnsi="宋体" w:eastAsia="宋体" w:cs="宋体"/>
          <w:b/>
          <w:color w:val="auto"/>
          <w:sz w:val="22"/>
          <w:szCs w:val="22"/>
          <w:highlight w:val="none"/>
        </w:rPr>
      </w:pPr>
      <w:bookmarkStart w:id="11" w:name="_Toc23157"/>
      <w:bookmarkStart w:id="12" w:name="_Toc611"/>
      <w:bookmarkStart w:id="13" w:name="_Toc14116"/>
      <w:bookmarkStart w:id="14" w:name="_Toc7800"/>
      <w:bookmarkStart w:id="15" w:name="_Toc444066171"/>
      <w:r>
        <w:rPr>
          <w:rFonts w:hint="eastAsia" w:ascii="宋体" w:hAnsi="宋体" w:eastAsia="宋体" w:cs="宋体"/>
          <w:b/>
          <w:color w:val="auto"/>
          <w:sz w:val="22"/>
          <w:szCs w:val="22"/>
          <w:highlight w:val="none"/>
        </w:rPr>
        <w:t>1、项目简介</w:t>
      </w:r>
      <w:bookmarkEnd w:id="11"/>
      <w:bookmarkEnd w:id="12"/>
      <w:bookmarkEnd w:id="13"/>
      <w:bookmarkEnd w:id="14"/>
    </w:p>
    <w:p w14:paraId="584D2A39">
      <w:pPr>
        <w:wordWrap w:val="0"/>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新征程（杭州）招标代理有限公司受</w:t>
      </w:r>
      <w:r>
        <w:rPr>
          <w:rFonts w:hint="eastAsia" w:ascii="宋体" w:hAnsi="宋体" w:eastAsia="宋体" w:cs="宋体"/>
          <w:color w:val="auto"/>
          <w:sz w:val="22"/>
          <w:szCs w:val="22"/>
          <w:highlight w:val="none"/>
          <w:lang w:eastAsia="zh-CN"/>
        </w:rPr>
        <w:t>平阳县青澜酒店管理有限公司</w:t>
      </w:r>
      <w:r>
        <w:rPr>
          <w:rFonts w:hint="eastAsia" w:ascii="宋体" w:hAnsi="宋体" w:eastAsia="宋体" w:cs="宋体"/>
          <w:color w:val="auto"/>
          <w:sz w:val="22"/>
          <w:szCs w:val="22"/>
          <w:highlight w:val="none"/>
        </w:rPr>
        <w:t>委托，以公开招标方式采购</w:t>
      </w:r>
      <w:r>
        <w:rPr>
          <w:rFonts w:hint="eastAsia" w:ascii="宋体" w:hAnsi="宋体" w:cs="宋体"/>
          <w:color w:val="auto"/>
          <w:sz w:val="22"/>
          <w:szCs w:val="22"/>
          <w:highlight w:val="none"/>
          <w:lang w:eastAsia="zh-CN"/>
        </w:rPr>
        <w:t>2026年度采购雁荡山君澜度假酒店液化天然气（LNG）、运输及天然气站维护服务采购</w:t>
      </w:r>
      <w:r>
        <w:rPr>
          <w:rFonts w:hint="eastAsia" w:ascii="宋体" w:hAnsi="宋体" w:eastAsia="宋体" w:cs="宋体"/>
          <w:color w:val="auto"/>
          <w:sz w:val="22"/>
          <w:szCs w:val="22"/>
          <w:highlight w:val="none"/>
        </w:rPr>
        <w:t>，本次招标资金已经落实。</w:t>
      </w:r>
    </w:p>
    <w:p w14:paraId="46D48334">
      <w:pPr>
        <w:wordWrap w:val="0"/>
        <w:spacing w:line="360" w:lineRule="auto"/>
        <w:ind w:firstLine="440" w:firstLineChars="200"/>
        <w:outlineLvl w:val="9"/>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我们热情欢迎有关公司（企业）前来进行投标。</w:t>
      </w:r>
    </w:p>
    <w:bookmarkEnd w:id="15"/>
    <w:p w14:paraId="169C58ED">
      <w:pPr>
        <w:wordWrap w:val="0"/>
        <w:autoSpaceDE w:val="0"/>
        <w:autoSpaceDN w:val="0"/>
        <w:adjustRightInd w:val="0"/>
        <w:snapToGrid w:val="0"/>
        <w:spacing w:line="360" w:lineRule="auto"/>
        <w:jc w:val="center"/>
        <w:textAlignment w:val="bottom"/>
        <w:outlineLvl w:val="9"/>
        <w:rPr>
          <w:rFonts w:hint="eastAsia" w:ascii="宋体" w:hAnsi="宋体" w:eastAsia="宋体" w:cs="宋体"/>
          <w:b/>
          <w:color w:val="auto"/>
          <w:sz w:val="36"/>
          <w:highlight w:val="none"/>
        </w:rPr>
      </w:pPr>
    </w:p>
    <w:p w14:paraId="30D6DF19">
      <w:pPr>
        <w:wordWrap w:val="0"/>
        <w:autoSpaceDE w:val="0"/>
        <w:autoSpaceDN w:val="0"/>
        <w:adjustRightInd w:val="0"/>
        <w:snapToGrid w:val="0"/>
        <w:spacing w:line="360" w:lineRule="auto"/>
        <w:jc w:val="center"/>
        <w:textAlignment w:val="bottom"/>
        <w:outlineLvl w:val="0"/>
        <w:rPr>
          <w:rFonts w:hint="eastAsia" w:ascii="宋体" w:hAnsi="宋体" w:eastAsia="宋体" w:cs="宋体"/>
          <w:b/>
          <w:color w:val="auto"/>
          <w:sz w:val="36"/>
          <w:highlight w:val="none"/>
        </w:rPr>
      </w:pPr>
      <w:bookmarkStart w:id="16" w:name="_Toc12332"/>
      <w:r>
        <w:rPr>
          <w:rFonts w:hint="eastAsia" w:ascii="宋体" w:hAnsi="宋体" w:eastAsia="宋体" w:cs="宋体"/>
          <w:b/>
          <w:color w:val="auto"/>
          <w:sz w:val="36"/>
          <w:highlight w:val="none"/>
        </w:rPr>
        <w:t>第二部分 采购内容及技术要求</w:t>
      </w:r>
      <w:bookmarkEnd w:id="16"/>
      <w:bookmarkStart w:id="17" w:name="_Toc142902564"/>
    </w:p>
    <w:bookmarkEnd w:id="17"/>
    <w:p w14:paraId="177C11CE">
      <w:pPr>
        <w:keepNext w:val="0"/>
        <w:keepLines w:val="0"/>
        <w:pageBreakBefore w:val="0"/>
        <w:widowControl/>
        <w:kinsoku/>
        <w:wordWrap w:val="0"/>
        <w:overflowPunct/>
        <w:topLinePunct w:val="0"/>
        <w:autoSpaceDE w:val="0"/>
        <w:autoSpaceDN w:val="0"/>
        <w:bidi w:val="0"/>
        <w:adjustRightInd/>
        <w:snapToGrid w:val="0"/>
        <w:spacing w:line="360" w:lineRule="auto"/>
        <w:jc w:val="left"/>
        <w:textAlignment w:val="auto"/>
        <w:rPr>
          <w:rFonts w:hint="eastAsia" w:ascii="宋体" w:hAnsi="宋体" w:eastAsia="宋体" w:cs="宋体"/>
          <w:b/>
          <w:bCs/>
          <w:color w:val="auto"/>
          <w:kern w:val="0"/>
          <w:sz w:val="22"/>
          <w:szCs w:val="22"/>
          <w:highlight w:val="none"/>
        </w:rPr>
      </w:pPr>
      <w:r>
        <w:rPr>
          <w:rFonts w:hint="eastAsia" w:ascii="宋体" w:hAnsi="宋体" w:eastAsia="宋体" w:cs="宋体"/>
          <w:b/>
          <w:bCs/>
          <w:color w:val="auto"/>
          <w:kern w:val="0"/>
          <w:sz w:val="22"/>
          <w:szCs w:val="22"/>
          <w:highlight w:val="none"/>
          <w:lang w:val="en-US" w:eastAsia="zh-CN"/>
        </w:rPr>
        <w:t>一</w:t>
      </w:r>
      <w:r>
        <w:rPr>
          <w:rFonts w:hint="eastAsia" w:ascii="宋体" w:hAnsi="宋体" w:eastAsia="宋体" w:cs="宋体"/>
          <w:b/>
          <w:bCs/>
          <w:color w:val="auto"/>
          <w:kern w:val="0"/>
          <w:sz w:val="22"/>
          <w:szCs w:val="22"/>
          <w:highlight w:val="none"/>
        </w:rPr>
        <w:t>、总则</w:t>
      </w:r>
    </w:p>
    <w:p w14:paraId="27D0C322">
      <w:pPr>
        <w:keepNext w:val="0"/>
        <w:keepLines w:val="0"/>
        <w:pageBreakBefore w:val="0"/>
        <w:widowControl w:val="0"/>
        <w:kinsoku/>
        <w:wordWrap w:val="0"/>
        <w:overflowPunct/>
        <w:topLinePunct w:val="0"/>
        <w:bidi w:val="0"/>
        <w:adjustRightInd w:val="0"/>
        <w:snapToGrid w:val="0"/>
        <w:spacing w:line="360" w:lineRule="auto"/>
        <w:ind w:firstLine="482"/>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1.1本技术规范要求提出的是最低限度的基本技术要求，并未对所有技术细节作出规定，供应商应提供符合本技术要求和国家标准、行业标准的优质产品。</w:t>
      </w:r>
    </w:p>
    <w:p w14:paraId="525B04FA">
      <w:pPr>
        <w:keepNext w:val="0"/>
        <w:keepLines w:val="0"/>
        <w:pageBreakBefore w:val="0"/>
        <w:widowControl w:val="0"/>
        <w:kinsoku/>
        <w:wordWrap w:val="0"/>
        <w:overflowPunct/>
        <w:topLinePunct w:val="0"/>
        <w:bidi w:val="0"/>
        <w:adjustRightInd w:val="0"/>
        <w:snapToGrid w:val="0"/>
        <w:spacing w:line="360" w:lineRule="auto"/>
        <w:ind w:firstLine="482"/>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1.2供应商产品与本技术要求不一致时，供应商应在投标文件中予以说明，并由评标委员会鉴定供应商产品能否达到要求。如供应商没有在投标文件中提出异议，则视为供应商提供的产品完全按照本招标文件要求。</w:t>
      </w:r>
    </w:p>
    <w:p w14:paraId="4E056A5A">
      <w:pPr>
        <w:keepNext w:val="0"/>
        <w:keepLines w:val="0"/>
        <w:pageBreakBefore w:val="0"/>
        <w:widowControl w:val="0"/>
        <w:kinsoku/>
        <w:wordWrap w:val="0"/>
        <w:overflowPunct/>
        <w:topLinePunct w:val="0"/>
        <w:bidi w:val="0"/>
        <w:adjustRightInd w:val="0"/>
        <w:snapToGrid w:val="0"/>
        <w:spacing w:line="360" w:lineRule="auto"/>
        <w:ind w:firstLine="482"/>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2、技术要求及标准的执行</w:t>
      </w:r>
    </w:p>
    <w:p w14:paraId="08E657BB">
      <w:pPr>
        <w:keepNext w:val="0"/>
        <w:keepLines w:val="0"/>
        <w:pageBreakBefore w:val="0"/>
        <w:widowControl w:val="0"/>
        <w:kinsoku/>
        <w:wordWrap w:val="0"/>
        <w:overflowPunct/>
        <w:topLinePunct w:val="0"/>
        <w:bidi w:val="0"/>
        <w:adjustRightInd w:val="0"/>
        <w:snapToGrid w:val="0"/>
        <w:spacing w:line="360" w:lineRule="auto"/>
        <w:ind w:firstLine="482"/>
        <w:jc w:val="both"/>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供应商提供的产品应标明所执行的质量标准，若同一标准已颁发新标准，则按最新标准执行。若同一产品同时有几个标准（国际标准、国家标准、行业标准、企业标准等），则按最高层次的标准执行。</w:t>
      </w:r>
    </w:p>
    <w:p w14:paraId="6AE99CA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rPr>
        <w:t>供应商须按国家有关规定及标准完成本次采购产品的供货、运输、装卸、就位、调试、技术培训、检验、通过有关部门验收、维保期服务、产品终身维修等各项工作，并保证投标产品使用的安全性能与检测结果的可靠性。如中标，中标供应商及制造商对中标产品使用的安全性能与可靠性负全部责任。中标供应商须随产品提供使用说明书与维保卡。供应商提供相关数据与说明，投标文件须对下列要求作出实质性回应。</w:t>
      </w:r>
    </w:p>
    <w:p w14:paraId="0CD10C7A">
      <w:pPr>
        <w:keepNext w:val="0"/>
        <w:keepLines w:val="0"/>
        <w:pageBreakBefore w:val="0"/>
        <w:widowControl w:val="0"/>
        <w:kinsoku/>
        <w:wordWrap w:val="0"/>
        <w:overflowPunct/>
        <w:topLinePunct w:val="0"/>
        <w:bidi w:val="0"/>
        <w:adjustRightInd w:val="0"/>
        <w:snapToGrid w:val="0"/>
        <w:spacing w:line="360" w:lineRule="auto"/>
        <w:jc w:val="both"/>
        <w:rPr>
          <w:rFonts w:hint="eastAsia" w:ascii="宋体" w:hAnsi="宋体" w:eastAsia="宋体" w:cs="宋体"/>
          <w:b/>
          <w:bCs w:val="0"/>
          <w:color w:val="auto"/>
          <w:kern w:val="2"/>
          <w:sz w:val="22"/>
          <w:szCs w:val="22"/>
          <w:highlight w:val="none"/>
          <w:lang w:val="en-US" w:eastAsia="zh-CN" w:bidi="ar-SA"/>
        </w:rPr>
      </w:pPr>
      <w:bookmarkStart w:id="18" w:name="_Toc157410886"/>
      <w:r>
        <w:rPr>
          <w:rFonts w:hint="eastAsia" w:ascii="宋体" w:hAnsi="宋体" w:eastAsia="宋体" w:cs="宋体"/>
          <w:b/>
          <w:bCs w:val="0"/>
          <w:color w:val="auto"/>
          <w:kern w:val="2"/>
          <w:sz w:val="22"/>
          <w:szCs w:val="22"/>
          <w:highlight w:val="none"/>
          <w:lang w:val="en-US" w:eastAsia="zh-CN" w:bidi="ar-SA"/>
        </w:rPr>
        <w:t>二、采购内容及要求</w:t>
      </w:r>
    </w:p>
    <w:bookmarkEnd w:id="18"/>
    <w:p w14:paraId="6ACD3607">
      <w:pPr>
        <w:keepNext w:val="0"/>
        <w:keepLines w:val="0"/>
        <w:pageBreakBefore w:val="0"/>
        <w:kinsoku/>
        <w:wordWrap w:val="0"/>
        <w:overflowPunct/>
        <w:topLinePunct w:val="0"/>
        <w:autoSpaceDE w:val="0"/>
        <w:autoSpaceDN w:val="0"/>
        <w:bidi w:val="0"/>
        <w:snapToGrid w:val="0"/>
        <w:spacing w:line="360" w:lineRule="auto"/>
        <w:ind w:firstLine="442" w:firstLineChars="200"/>
        <w:textAlignment w:val="bottom"/>
        <w:rPr>
          <w:rFonts w:hint="eastAsia" w:ascii="宋体" w:hAnsi="宋体" w:eastAsia="宋体" w:cs="宋体"/>
          <w:b/>
          <w:bCs w:val="0"/>
          <w:color w:val="auto"/>
          <w:kern w:val="2"/>
          <w:sz w:val="22"/>
          <w:szCs w:val="22"/>
          <w:highlight w:val="none"/>
        </w:rPr>
      </w:pPr>
      <w:bookmarkStart w:id="19" w:name="_Toc18813692"/>
      <w:bookmarkStart w:id="20" w:name="_Toc60567004"/>
      <w:bookmarkStart w:id="21" w:name="_Toc96238084"/>
      <w:bookmarkStart w:id="22" w:name="_Toc64705877"/>
      <w:r>
        <w:rPr>
          <w:rFonts w:hint="eastAsia" w:ascii="宋体" w:hAnsi="宋体" w:eastAsia="宋体" w:cs="宋体"/>
          <w:b/>
          <w:bCs w:val="0"/>
          <w:color w:val="auto"/>
          <w:kern w:val="2"/>
          <w:sz w:val="22"/>
          <w:szCs w:val="22"/>
          <w:highlight w:val="none"/>
          <w:lang w:val="en-US" w:eastAsia="zh-CN"/>
        </w:rPr>
        <w:t>1、</w:t>
      </w:r>
      <w:r>
        <w:rPr>
          <w:rFonts w:hint="eastAsia" w:ascii="宋体" w:hAnsi="宋体" w:eastAsia="宋体" w:cs="宋体"/>
          <w:b/>
          <w:bCs w:val="0"/>
          <w:color w:val="auto"/>
          <w:kern w:val="2"/>
          <w:sz w:val="22"/>
          <w:szCs w:val="22"/>
          <w:highlight w:val="none"/>
        </w:rPr>
        <w:t>本项目基本情况</w:t>
      </w:r>
    </w:p>
    <w:p w14:paraId="287FAA67">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合同期内LNG采购量预估5</w:t>
      </w:r>
      <w:r>
        <w:rPr>
          <w:rFonts w:hint="eastAsia" w:ascii="宋体" w:hAnsi="宋体" w:eastAsia="宋体" w:cs="宋体"/>
          <w:b w:val="0"/>
          <w:bCs/>
          <w:color w:val="auto"/>
          <w:kern w:val="2"/>
          <w:sz w:val="22"/>
          <w:szCs w:val="22"/>
          <w:highlight w:val="none"/>
        </w:rPr>
        <w:t>00吨</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按实际需求量为准</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w:t>
      </w:r>
      <w:r>
        <w:rPr>
          <w:rFonts w:hint="eastAsia" w:ascii="宋体" w:hAnsi="宋体" w:eastAsia="宋体" w:cs="宋体"/>
          <w:b w:val="0"/>
          <w:bCs/>
          <w:color w:val="auto"/>
          <w:kern w:val="2"/>
          <w:sz w:val="22"/>
          <w:szCs w:val="22"/>
          <w:highlight w:val="none"/>
        </w:rPr>
        <w:t>具体</w:t>
      </w:r>
      <w:r>
        <w:rPr>
          <w:rFonts w:hint="eastAsia" w:ascii="宋体" w:hAnsi="宋体" w:eastAsia="宋体" w:cs="宋体"/>
          <w:b w:val="0"/>
          <w:bCs/>
          <w:color w:val="auto"/>
          <w:kern w:val="2"/>
          <w:sz w:val="22"/>
          <w:szCs w:val="22"/>
          <w:highlight w:val="none"/>
          <w:lang w:eastAsia="zh-CN"/>
        </w:rPr>
        <w:t>供货</w:t>
      </w:r>
      <w:r>
        <w:rPr>
          <w:rFonts w:hint="eastAsia" w:ascii="宋体" w:hAnsi="宋体" w:eastAsia="宋体" w:cs="宋体"/>
          <w:b w:val="0"/>
          <w:bCs/>
          <w:color w:val="auto"/>
          <w:kern w:val="2"/>
          <w:sz w:val="22"/>
          <w:szCs w:val="22"/>
          <w:highlight w:val="none"/>
        </w:rPr>
        <w:t>数量</w:t>
      </w:r>
      <w:r>
        <w:rPr>
          <w:rFonts w:hint="eastAsia" w:ascii="宋体" w:hAnsi="宋体" w:eastAsia="宋体" w:cs="宋体"/>
          <w:b w:val="0"/>
          <w:bCs/>
          <w:color w:val="auto"/>
          <w:kern w:val="2"/>
          <w:sz w:val="22"/>
          <w:szCs w:val="22"/>
          <w:highlight w:val="none"/>
          <w:lang w:eastAsia="zh-CN"/>
        </w:rPr>
        <w:t>、时间和指定接收站</w:t>
      </w:r>
      <w:r>
        <w:rPr>
          <w:rFonts w:hint="eastAsia" w:ascii="宋体" w:hAnsi="宋体" w:eastAsia="宋体" w:cs="宋体"/>
          <w:b w:val="0"/>
          <w:bCs/>
          <w:color w:val="auto"/>
          <w:kern w:val="2"/>
          <w:sz w:val="22"/>
          <w:szCs w:val="22"/>
          <w:highlight w:val="none"/>
        </w:rPr>
        <w:t>根据</w:t>
      </w:r>
      <w:r>
        <w:rPr>
          <w:rFonts w:hint="eastAsia" w:ascii="宋体" w:hAnsi="宋体" w:eastAsia="宋体" w:cs="宋体"/>
          <w:b w:val="0"/>
          <w:bCs/>
          <w:color w:val="auto"/>
          <w:kern w:val="2"/>
          <w:sz w:val="22"/>
          <w:szCs w:val="22"/>
          <w:highlight w:val="none"/>
          <w:lang w:eastAsia="zh-CN"/>
        </w:rPr>
        <w:t>采购人《供货通知单》</w:t>
      </w:r>
      <w:r>
        <w:rPr>
          <w:rFonts w:hint="eastAsia" w:ascii="宋体" w:hAnsi="宋体" w:eastAsia="宋体" w:cs="宋体"/>
          <w:b w:val="0"/>
          <w:bCs/>
          <w:color w:val="auto"/>
          <w:kern w:val="2"/>
          <w:sz w:val="22"/>
          <w:szCs w:val="22"/>
          <w:highlight w:val="none"/>
        </w:rPr>
        <w:t>情况确定。</w:t>
      </w:r>
      <w:r>
        <w:rPr>
          <w:rFonts w:hint="eastAsia" w:ascii="宋体" w:hAnsi="宋体" w:eastAsia="宋体" w:cs="宋体"/>
          <w:b w:val="0"/>
          <w:bCs/>
          <w:color w:val="auto"/>
          <w:kern w:val="2"/>
          <w:sz w:val="22"/>
          <w:szCs w:val="22"/>
          <w:highlight w:val="none"/>
          <w:lang w:val="en-US" w:eastAsia="zh-CN"/>
        </w:rPr>
        <w:t>并提供相应的气站设备及合同期内的气站维护服务。</w:t>
      </w:r>
    </w:p>
    <w:p w14:paraId="7CA8EF1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2、</w:t>
      </w:r>
      <w:r>
        <w:rPr>
          <w:rFonts w:hint="eastAsia" w:ascii="宋体" w:hAnsi="宋体" w:eastAsia="宋体" w:cs="宋体"/>
          <w:b w:val="0"/>
          <w:bCs/>
          <w:color w:val="auto"/>
          <w:kern w:val="2"/>
          <w:sz w:val="22"/>
          <w:szCs w:val="22"/>
          <w:highlight w:val="none"/>
        </w:rPr>
        <w:t>技术参数等：LNG质量符合中华人民共和国国家标准《天然气》（GB 17820）最新标准中所规定的二类天然气气质标准执行</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如有更新以最新标准为准</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。气源为浙江省区域内</w:t>
      </w:r>
      <w:r>
        <w:rPr>
          <w:rFonts w:hint="eastAsia" w:ascii="宋体" w:hAnsi="宋体" w:eastAsia="宋体" w:cs="宋体"/>
          <w:b w:val="0"/>
          <w:bCs/>
          <w:color w:val="auto"/>
          <w:kern w:val="2"/>
          <w:sz w:val="22"/>
          <w:szCs w:val="22"/>
          <w:highlight w:val="none"/>
          <w:lang w:eastAsia="zh-CN"/>
        </w:rPr>
        <w:t>浙江宁波</w:t>
      </w:r>
      <w:r>
        <w:rPr>
          <w:rFonts w:hint="eastAsia" w:ascii="宋体" w:hAnsi="宋体" w:eastAsia="宋体" w:cs="宋体"/>
          <w:b w:val="0"/>
          <w:bCs/>
          <w:color w:val="auto"/>
          <w:kern w:val="2"/>
          <w:sz w:val="22"/>
          <w:szCs w:val="22"/>
          <w:highlight w:val="none"/>
        </w:rPr>
        <w:t>接收站。</w:t>
      </w:r>
    </w:p>
    <w:p w14:paraId="064B7BA0">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服务要求：</w:t>
      </w:r>
      <w:r>
        <w:rPr>
          <w:rFonts w:hint="eastAsia" w:ascii="宋体" w:hAnsi="宋体" w:eastAsia="宋体" w:cs="宋体"/>
          <w:color w:val="auto"/>
          <w:sz w:val="22"/>
          <w:szCs w:val="22"/>
          <w:lang w:val="en-US" w:eastAsia="zh-CN"/>
        </w:rPr>
        <w:t>供应商</w:t>
      </w:r>
      <w:r>
        <w:rPr>
          <w:rFonts w:hint="eastAsia" w:ascii="宋体" w:hAnsi="宋体" w:eastAsia="宋体" w:cs="宋体"/>
          <w:color w:val="auto"/>
          <w:sz w:val="22"/>
          <w:szCs w:val="22"/>
        </w:rPr>
        <w:t>应对运输车负责，应当为运输车辆安装具有行驶记录功能的卫星定位装置以及提供符合运输天然气产品的设施。</w:t>
      </w:r>
      <w:r>
        <w:rPr>
          <w:rFonts w:hint="eastAsia" w:ascii="宋体" w:hAnsi="宋体" w:eastAsia="宋体" w:cs="宋体"/>
          <w:color w:val="auto"/>
          <w:sz w:val="22"/>
          <w:szCs w:val="22"/>
          <w:lang w:val="en-US" w:eastAsia="zh-CN"/>
        </w:rPr>
        <w:t>供应商</w:t>
      </w:r>
      <w:r>
        <w:rPr>
          <w:rFonts w:hint="eastAsia" w:ascii="宋体" w:hAnsi="宋体" w:eastAsia="宋体" w:cs="宋体"/>
          <w:color w:val="auto"/>
          <w:sz w:val="22"/>
          <w:szCs w:val="22"/>
        </w:rPr>
        <w:t>必须向</w:t>
      </w:r>
      <w:r>
        <w:rPr>
          <w:rFonts w:hint="eastAsia" w:ascii="宋体" w:hAnsi="宋体" w:eastAsia="宋体" w:cs="宋体"/>
          <w:color w:val="auto"/>
          <w:sz w:val="22"/>
          <w:szCs w:val="22"/>
          <w:lang w:val="en-US" w:eastAsia="zh-CN"/>
        </w:rPr>
        <w:t>采购人</w:t>
      </w:r>
      <w:r>
        <w:rPr>
          <w:rFonts w:hint="eastAsia" w:ascii="宋体" w:hAnsi="宋体" w:eastAsia="宋体" w:cs="宋体"/>
          <w:color w:val="auto"/>
          <w:sz w:val="22"/>
          <w:szCs w:val="22"/>
        </w:rPr>
        <w:t>提供合法有效的危险货物道路运输许可证、营业执照、运输车辆的道路运输证、车辆驾驶员及押运人员的从业资格证。运输车辆在槽车进站、停车以及卸液过程中应按照安全规定进行操作</w:t>
      </w:r>
      <w:r>
        <w:rPr>
          <w:rFonts w:hint="eastAsia" w:ascii="宋体" w:hAnsi="宋体" w:eastAsia="宋体" w:cs="宋体"/>
          <w:b w:val="0"/>
          <w:bCs/>
          <w:color w:val="auto"/>
          <w:kern w:val="2"/>
          <w:sz w:val="22"/>
          <w:szCs w:val="22"/>
          <w:highlight w:val="none"/>
        </w:rPr>
        <w:t>。</w:t>
      </w:r>
    </w:p>
    <w:p w14:paraId="3747833E">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4、其他要求：</w:t>
      </w:r>
      <w:r>
        <w:rPr>
          <w:rFonts w:hint="eastAsia" w:ascii="宋体" w:hAnsi="宋体" w:eastAsia="宋体" w:cs="宋体"/>
          <w:b w:val="0"/>
          <w:bCs/>
          <w:color w:val="auto"/>
          <w:kern w:val="2"/>
          <w:sz w:val="22"/>
          <w:szCs w:val="22"/>
          <w:highlight w:val="none"/>
        </w:rPr>
        <w:t>使用的柴油动力移动源（柴油货车、非道路移动机械）必须符合</w:t>
      </w:r>
      <w:r>
        <w:rPr>
          <w:rFonts w:hint="eastAsia" w:ascii="宋体" w:hAnsi="宋体" w:eastAsia="宋体" w:cs="宋体"/>
          <w:b w:val="0"/>
          <w:bCs/>
          <w:color w:val="auto"/>
          <w:kern w:val="2"/>
          <w:sz w:val="22"/>
          <w:szCs w:val="22"/>
          <w:highlight w:val="none"/>
          <w:lang w:val="en-US" w:eastAsia="zh-CN"/>
        </w:rPr>
        <w:t>当地相关规定，具体以当地规定为准</w:t>
      </w:r>
      <w:r>
        <w:rPr>
          <w:rFonts w:hint="eastAsia" w:ascii="宋体" w:hAnsi="宋体" w:eastAsia="宋体" w:cs="宋体"/>
          <w:b w:val="0"/>
          <w:bCs/>
          <w:color w:val="auto"/>
          <w:kern w:val="2"/>
          <w:sz w:val="22"/>
          <w:szCs w:val="22"/>
          <w:highlight w:val="none"/>
        </w:rPr>
        <w:t>。</w:t>
      </w:r>
    </w:p>
    <w:bookmarkEnd w:id="19"/>
    <w:bookmarkEnd w:id="20"/>
    <w:bookmarkEnd w:id="21"/>
    <w:bookmarkEnd w:id="22"/>
    <w:p w14:paraId="127C146D">
      <w:pPr>
        <w:keepNext w:val="0"/>
        <w:keepLines w:val="0"/>
        <w:pageBreakBefore w:val="0"/>
        <w:kinsoku/>
        <w:wordWrap w:val="0"/>
        <w:overflowPunct/>
        <w:topLinePunct w:val="0"/>
        <w:autoSpaceDE w:val="0"/>
        <w:autoSpaceDN w:val="0"/>
        <w:bidi w:val="0"/>
        <w:snapToGrid w:val="0"/>
        <w:spacing w:line="360" w:lineRule="auto"/>
        <w:textAlignment w:val="bottom"/>
        <w:rPr>
          <w:rFonts w:hint="eastAsia" w:ascii="宋体" w:hAnsi="宋体" w:eastAsia="宋体" w:cs="宋体"/>
          <w:b/>
          <w:bCs w:val="0"/>
          <w:color w:val="auto"/>
          <w:kern w:val="2"/>
          <w:sz w:val="22"/>
          <w:szCs w:val="22"/>
          <w:highlight w:val="none"/>
          <w:lang w:val="en-US" w:eastAsia="zh-CN"/>
        </w:rPr>
      </w:pPr>
      <w:bookmarkStart w:id="23" w:name="_Toc478439473"/>
      <w:bookmarkEnd w:id="23"/>
      <w:bookmarkStart w:id="24" w:name="_Toc399318773"/>
      <w:bookmarkEnd w:id="24"/>
      <w:bookmarkStart w:id="25" w:name="_Hlt515349389"/>
      <w:bookmarkEnd w:id="25"/>
      <w:bookmarkStart w:id="26" w:name="_Toc399326517"/>
      <w:bookmarkEnd w:id="26"/>
      <w:bookmarkStart w:id="27" w:name="_Toc505746939"/>
      <w:bookmarkEnd w:id="27"/>
      <w:r>
        <w:rPr>
          <w:rFonts w:hint="eastAsia" w:ascii="宋体" w:hAnsi="宋体" w:eastAsia="宋体" w:cs="宋体"/>
          <w:b/>
          <w:bCs w:val="0"/>
          <w:color w:val="auto"/>
          <w:kern w:val="2"/>
          <w:sz w:val="22"/>
          <w:szCs w:val="22"/>
          <w:highlight w:val="none"/>
          <w:lang w:val="en-US" w:eastAsia="zh-CN"/>
        </w:rPr>
        <w:t>三、投标报价</w:t>
      </w:r>
    </w:p>
    <w:p w14:paraId="76EFE0E4">
      <w:pPr>
        <w:pStyle w:val="10"/>
        <w:keepNext w:val="0"/>
        <w:keepLines w:val="0"/>
        <w:pageBreakBefore w:val="0"/>
        <w:kinsoku/>
        <w:overflowPunct/>
        <w:topLinePunct w:val="0"/>
        <w:bidi w:val="0"/>
        <w:spacing w:after="0" w:line="360" w:lineRule="auto"/>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本项目投标报价采用折扣率进行报价。最高限价如下：</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9"/>
        <w:gridCol w:w="2220"/>
        <w:gridCol w:w="4455"/>
        <w:gridCol w:w="1410"/>
      </w:tblGrid>
      <w:tr w14:paraId="563D3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Align w:val="center"/>
          </w:tcPr>
          <w:p w14:paraId="0AEAD3CF">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序号</w:t>
            </w:r>
          </w:p>
        </w:tc>
        <w:tc>
          <w:tcPr>
            <w:tcW w:w="2220" w:type="dxa"/>
            <w:vAlign w:val="center"/>
          </w:tcPr>
          <w:p w14:paraId="0944CCEA">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名称</w:t>
            </w:r>
          </w:p>
        </w:tc>
        <w:tc>
          <w:tcPr>
            <w:tcW w:w="4455" w:type="dxa"/>
            <w:vAlign w:val="center"/>
          </w:tcPr>
          <w:p w14:paraId="24F1B5DC">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限价</w:t>
            </w:r>
          </w:p>
        </w:tc>
        <w:tc>
          <w:tcPr>
            <w:tcW w:w="1410" w:type="dxa"/>
            <w:vAlign w:val="center"/>
          </w:tcPr>
          <w:p w14:paraId="4761781B">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最高投标折扣率限价</w:t>
            </w:r>
          </w:p>
        </w:tc>
      </w:tr>
      <w:tr w14:paraId="7A53D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Align w:val="center"/>
          </w:tcPr>
          <w:p w14:paraId="6316B4CA">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2220" w:type="dxa"/>
            <w:vAlign w:val="center"/>
          </w:tcPr>
          <w:p w14:paraId="763FD84E">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LNG天然气基准价</w:t>
            </w:r>
          </w:p>
        </w:tc>
        <w:tc>
          <w:tcPr>
            <w:tcW w:w="4455" w:type="dxa"/>
            <w:vAlign w:val="center"/>
          </w:tcPr>
          <w:p w14:paraId="66BBDB3B">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供气当日浙江宁波接收站基准价（中海石油气电集团有限公司浙江分公司华东浙沪市场价格调整公告内浙江地区基准价）</w:t>
            </w:r>
          </w:p>
        </w:tc>
        <w:tc>
          <w:tcPr>
            <w:tcW w:w="1410" w:type="dxa"/>
            <w:vMerge w:val="restart"/>
            <w:vAlign w:val="center"/>
          </w:tcPr>
          <w:p w14:paraId="018CDC39">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100%</w:t>
            </w:r>
          </w:p>
        </w:tc>
      </w:tr>
      <w:tr w14:paraId="3605C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Align w:val="center"/>
          </w:tcPr>
          <w:p w14:paraId="7B924691">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2220" w:type="dxa"/>
            <w:vAlign w:val="center"/>
          </w:tcPr>
          <w:p w14:paraId="7039353E">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运输费</w:t>
            </w:r>
          </w:p>
        </w:tc>
        <w:tc>
          <w:tcPr>
            <w:tcW w:w="4455" w:type="dxa"/>
            <w:vAlign w:val="center"/>
          </w:tcPr>
          <w:p w14:paraId="73B1E69D">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530元/吨</w:t>
            </w:r>
          </w:p>
        </w:tc>
        <w:tc>
          <w:tcPr>
            <w:tcW w:w="1410" w:type="dxa"/>
            <w:vMerge w:val="continue"/>
            <w:vAlign w:val="center"/>
          </w:tcPr>
          <w:p w14:paraId="3CB648B7">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p>
        </w:tc>
      </w:tr>
      <w:tr w14:paraId="18031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89" w:type="dxa"/>
            <w:vAlign w:val="center"/>
          </w:tcPr>
          <w:p w14:paraId="22C41AFF">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2220" w:type="dxa"/>
            <w:vAlign w:val="center"/>
          </w:tcPr>
          <w:p w14:paraId="77BC6D30">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气站维护费</w:t>
            </w:r>
          </w:p>
        </w:tc>
        <w:tc>
          <w:tcPr>
            <w:tcW w:w="4455" w:type="dxa"/>
            <w:vAlign w:val="center"/>
          </w:tcPr>
          <w:p w14:paraId="219B04AC">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78000元</w:t>
            </w:r>
          </w:p>
        </w:tc>
        <w:tc>
          <w:tcPr>
            <w:tcW w:w="1410" w:type="dxa"/>
            <w:vMerge w:val="continue"/>
            <w:vAlign w:val="center"/>
          </w:tcPr>
          <w:p w14:paraId="7E5F64F2">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p>
        </w:tc>
      </w:tr>
    </w:tbl>
    <w:p w14:paraId="17216419">
      <w:pPr>
        <w:pStyle w:val="10"/>
        <w:keepNext w:val="0"/>
        <w:keepLines w:val="0"/>
        <w:pageBreakBefore w:val="0"/>
        <w:kinsoku/>
        <w:overflowPunct/>
        <w:topLinePunct w:val="0"/>
        <w:bidi w:val="0"/>
        <w:spacing w:after="0" w:line="360" w:lineRule="auto"/>
        <w:ind w:left="0" w:leftChars="0" w:firstLine="442" w:firstLineChars="200"/>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报价说明：本项目采购折扣率形式进行报价，如供应商投标报价针对本项目最高限价下浮10%，则投标报价折扣率填写为90%。中标后结算价格如下：</w:t>
      </w:r>
    </w:p>
    <w:p w14:paraId="20132228">
      <w:pPr>
        <w:pStyle w:val="10"/>
        <w:keepNext w:val="0"/>
        <w:keepLines w:val="0"/>
        <w:pageBreakBefore w:val="0"/>
        <w:kinsoku/>
        <w:overflowPunct/>
        <w:topLinePunct w:val="0"/>
        <w:bidi w:val="0"/>
        <w:spacing w:after="0" w:line="360" w:lineRule="auto"/>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（1）结算气价费：供气当日浙江宁波接收站基准价（中海石油气电集团有限公司浙江分公司华东浙沪市场价格调整公告内浙江地区基准价）*中标折扣率*实际供气量。</w:t>
      </w:r>
    </w:p>
    <w:p w14:paraId="2407F226">
      <w:pPr>
        <w:pStyle w:val="10"/>
        <w:keepNext w:val="0"/>
        <w:keepLines w:val="0"/>
        <w:pageBreakBefore w:val="0"/>
        <w:kinsoku/>
        <w:overflowPunct/>
        <w:topLinePunct w:val="0"/>
        <w:bidi w:val="0"/>
        <w:spacing w:after="0" w:line="360" w:lineRule="auto"/>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（2）结算运输费费：530元/吨*中标折扣率*实际供气量。</w:t>
      </w:r>
    </w:p>
    <w:p w14:paraId="23082BCF">
      <w:pPr>
        <w:pStyle w:val="10"/>
        <w:keepNext w:val="0"/>
        <w:keepLines w:val="0"/>
        <w:pageBreakBefore w:val="0"/>
        <w:kinsoku/>
        <w:overflowPunct/>
        <w:topLinePunct w:val="0"/>
        <w:bidi w:val="0"/>
        <w:spacing w:after="0" w:line="360" w:lineRule="auto"/>
        <w:rPr>
          <w:rFonts w:hint="eastAsia" w:ascii="宋体" w:hAnsi="宋体" w:eastAsia="宋体" w:cs="宋体"/>
          <w:b/>
          <w:bCs w:val="0"/>
          <w:color w:val="auto"/>
          <w:sz w:val="22"/>
          <w:szCs w:val="22"/>
          <w:lang w:val="en-US" w:eastAsia="zh-CN"/>
        </w:rPr>
      </w:pPr>
      <w:r>
        <w:rPr>
          <w:rFonts w:hint="eastAsia" w:ascii="宋体" w:hAnsi="宋体" w:eastAsia="宋体" w:cs="宋体"/>
          <w:b/>
          <w:bCs w:val="0"/>
          <w:color w:val="auto"/>
          <w:sz w:val="22"/>
          <w:szCs w:val="22"/>
          <w:lang w:val="en-US" w:eastAsia="zh-CN"/>
        </w:rPr>
        <w:t>（3）气站维护费：78000元*中标折扣率。</w:t>
      </w:r>
    </w:p>
    <w:p w14:paraId="42348825">
      <w:pPr>
        <w:keepNext w:val="0"/>
        <w:keepLines w:val="0"/>
        <w:pageBreakBefore w:val="0"/>
        <w:kinsoku/>
        <w:wordWrap w:val="0"/>
        <w:overflowPunct/>
        <w:topLinePunct w:val="0"/>
        <w:autoSpaceDE w:val="0"/>
        <w:autoSpaceDN w:val="0"/>
        <w:bidi w:val="0"/>
        <w:snapToGrid w:val="0"/>
        <w:spacing w:line="360" w:lineRule="auto"/>
        <w:textAlignment w:val="bottom"/>
        <w:rPr>
          <w:rFonts w:hint="eastAsia" w:ascii="宋体" w:hAnsi="宋体" w:eastAsia="宋体" w:cs="宋体"/>
          <w:b/>
          <w:bCs w:val="0"/>
          <w:color w:val="auto"/>
          <w:kern w:val="2"/>
          <w:sz w:val="22"/>
          <w:szCs w:val="22"/>
          <w:highlight w:val="none"/>
          <w:lang w:val="zh-CN" w:eastAsia="zh-CN"/>
        </w:rPr>
      </w:pPr>
      <w:r>
        <w:rPr>
          <w:rFonts w:hint="eastAsia" w:ascii="宋体" w:hAnsi="宋体" w:eastAsia="宋体" w:cs="宋体"/>
          <w:b/>
          <w:bCs w:val="0"/>
          <w:color w:val="auto"/>
          <w:kern w:val="2"/>
          <w:sz w:val="22"/>
          <w:szCs w:val="22"/>
          <w:highlight w:val="none"/>
          <w:lang w:val="en-US" w:eastAsia="zh-CN"/>
        </w:rPr>
        <w:t>四</w:t>
      </w:r>
      <w:r>
        <w:rPr>
          <w:rFonts w:hint="eastAsia" w:ascii="宋体" w:hAnsi="宋体" w:eastAsia="宋体" w:cs="宋体"/>
          <w:b/>
          <w:bCs w:val="0"/>
          <w:color w:val="auto"/>
          <w:kern w:val="2"/>
          <w:sz w:val="22"/>
          <w:szCs w:val="22"/>
          <w:highlight w:val="none"/>
          <w:lang w:val="zh-CN" w:eastAsia="zh-CN"/>
        </w:rPr>
        <w:t>、</w:t>
      </w:r>
      <w:r>
        <w:rPr>
          <w:rFonts w:hint="eastAsia" w:ascii="宋体" w:hAnsi="宋体" w:eastAsia="宋体" w:cs="宋体"/>
          <w:b/>
          <w:bCs w:val="0"/>
          <w:color w:val="auto"/>
          <w:kern w:val="2"/>
          <w:sz w:val="22"/>
          <w:szCs w:val="22"/>
          <w:highlight w:val="none"/>
          <w:lang w:val="en-US" w:eastAsia="zh-CN"/>
        </w:rPr>
        <w:t>采购内容</w:t>
      </w:r>
      <w:r>
        <w:rPr>
          <w:rFonts w:hint="eastAsia" w:ascii="宋体" w:hAnsi="宋体" w:eastAsia="宋体" w:cs="宋体"/>
          <w:b/>
          <w:bCs w:val="0"/>
          <w:color w:val="auto"/>
          <w:kern w:val="2"/>
          <w:sz w:val="22"/>
          <w:szCs w:val="22"/>
          <w:highlight w:val="none"/>
          <w:lang w:val="zh-CN" w:eastAsia="zh-CN"/>
        </w:rPr>
        <w:t>要求</w:t>
      </w:r>
    </w:p>
    <w:p w14:paraId="357EAE16">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1、</w:t>
      </w:r>
      <w:r>
        <w:rPr>
          <w:rFonts w:hint="eastAsia" w:ascii="宋体" w:hAnsi="宋体" w:eastAsia="宋体" w:cs="宋体"/>
          <w:b w:val="0"/>
          <w:bCs/>
          <w:color w:val="auto"/>
          <w:kern w:val="2"/>
          <w:sz w:val="22"/>
          <w:szCs w:val="22"/>
          <w:highlight w:val="none"/>
        </w:rPr>
        <w:t>合同期限及用气数量和</w:t>
      </w:r>
      <w:r>
        <w:rPr>
          <w:rFonts w:hint="eastAsia" w:ascii="宋体" w:hAnsi="宋体" w:eastAsia="宋体" w:cs="宋体"/>
          <w:b w:val="0"/>
          <w:bCs/>
          <w:color w:val="auto"/>
          <w:kern w:val="2"/>
          <w:sz w:val="22"/>
          <w:szCs w:val="22"/>
          <w:highlight w:val="none"/>
          <w:lang w:eastAsia="zh-CN"/>
        </w:rPr>
        <w:t>交付点</w:t>
      </w:r>
    </w:p>
    <w:p w14:paraId="0D65A32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1.1、</w:t>
      </w:r>
      <w:r>
        <w:rPr>
          <w:rFonts w:hint="eastAsia" w:ascii="宋体" w:hAnsi="宋体" w:eastAsia="宋体" w:cs="宋体"/>
          <w:b w:val="0"/>
          <w:bCs/>
          <w:color w:val="auto"/>
          <w:kern w:val="2"/>
          <w:sz w:val="22"/>
          <w:szCs w:val="22"/>
          <w:highlight w:val="none"/>
        </w:rPr>
        <w:t>合同期限：</w:t>
      </w:r>
      <w:r>
        <w:rPr>
          <w:rFonts w:hint="eastAsia" w:ascii="宋体" w:hAnsi="宋体" w:eastAsia="宋体" w:cs="宋体"/>
          <w:b w:val="0"/>
          <w:bCs/>
          <w:color w:val="auto"/>
          <w:kern w:val="2"/>
          <w:sz w:val="22"/>
          <w:szCs w:val="22"/>
          <w:highlight w:val="none"/>
          <w:lang w:eastAsia="zh-CN"/>
        </w:rPr>
        <w:t>合同期一年</w:t>
      </w:r>
      <w:r>
        <w:rPr>
          <w:rFonts w:hint="eastAsia" w:ascii="宋体" w:hAnsi="宋体" w:eastAsia="宋体" w:cs="宋体"/>
          <w:b w:val="0"/>
          <w:bCs/>
          <w:color w:val="auto"/>
          <w:kern w:val="2"/>
          <w:sz w:val="22"/>
          <w:szCs w:val="22"/>
          <w:highlight w:val="none"/>
        </w:rPr>
        <w:t>。（具体以合同条款约定为准，单个合同期内，采购金额达到采购预算金额，合同自动终止）</w:t>
      </w:r>
      <w:r>
        <w:rPr>
          <w:rFonts w:hint="eastAsia" w:ascii="宋体" w:hAnsi="宋体" w:eastAsia="宋体" w:cs="宋体"/>
          <w:b w:val="0"/>
          <w:bCs/>
          <w:color w:val="auto"/>
          <w:kern w:val="2"/>
          <w:sz w:val="22"/>
          <w:szCs w:val="22"/>
          <w:highlight w:val="none"/>
          <w:lang w:eastAsia="zh-CN"/>
        </w:rPr>
        <w:t>。</w:t>
      </w:r>
    </w:p>
    <w:p w14:paraId="2DC6E3F2">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1.2、</w:t>
      </w:r>
      <w:r>
        <w:rPr>
          <w:rFonts w:hint="eastAsia" w:ascii="宋体" w:hAnsi="宋体" w:eastAsia="宋体" w:cs="宋体"/>
          <w:b w:val="0"/>
          <w:bCs/>
          <w:color w:val="auto"/>
          <w:kern w:val="2"/>
          <w:sz w:val="22"/>
          <w:szCs w:val="22"/>
          <w:highlight w:val="none"/>
        </w:rPr>
        <w:t xml:space="preserve"> 合同期内的供货数量：</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根据</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《供货通知单》要求的计划量按约向</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提供液化天然气(LNG)，供货数量以</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书面通知为准。</w:t>
      </w:r>
    </w:p>
    <w:p w14:paraId="1ED864B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1.3、</w:t>
      </w:r>
      <w:r>
        <w:rPr>
          <w:rFonts w:hint="eastAsia" w:ascii="宋体" w:hAnsi="宋体" w:eastAsia="宋体" w:cs="宋体"/>
          <w:b w:val="0"/>
          <w:bCs/>
          <w:color w:val="auto"/>
          <w:kern w:val="2"/>
          <w:sz w:val="22"/>
          <w:szCs w:val="22"/>
          <w:highlight w:val="none"/>
        </w:rPr>
        <w:t>合同项下液化天然气(LNG)的</w:t>
      </w:r>
      <w:r>
        <w:rPr>
          <w:rFonts w:hint="eastAsia" w:ascii="宋体" w:hAnsi="宋体" w:eastAsia="宋体" w:cs="宋体"/>
          <w:b w:val="0"/>
          <w:bCs/>
          <w:color w:val="auto"/>
          <w:kern w:val="2"/>
          <w:sz w:val="22"/>
          <w:szCs w:val="22"/>
          <w:highlight w:val="none"/>
          <w:lang w:eastAsia="zh-CN"/>
        </w:rPr>
        <w:t>交付点</w:t>
      </w:r>
      <w:r>
        <w:rPr>
          <w:rFonts w:hint="eastAsia" w:ascii="宋体" w:hAnsi="宋体" w:eastAsia="宋体" w:cs="宋体"/>
          <w:b w:val="0"/>
          <w:bCs/>
          <w:color w:val="auto"/>
          <w:kern w:val="2"/>
          <w:sz w:val="22"/>
          <w:szCs w:val="22"/>
          <w:highlight w:val="none"/>
        </w:rPr>
        <w:t>：</w:t>
      </w:r>
      <w:r>
        <w:rPr>
          <w:rFonts w:hint="eastAsia" w:ascii="宋体" w:hAnsi="宋体" w:eastAsia="宋体" w:cs="宋体"/>
          <w:b w:val="0"/>
          <w:bCs/>
          <w:color w:val="auto"/>
          <w:kern w:val="2"/>
          <w:sz w:val="22"/>
          <w:szCs w:val="22"/>
          <w:highlight w:val="none"/>
          <w:lang w:val="en-US" w:eastAsia="zh-CN"/>
        </w:rPr>
        <w:t>温州市平阳县雁荡山君澜度假酒店旁气站</w:t>
      </w:r>
      <w:r>
        <w:rPr>
          <w:rFonts w:hint="eastAsia" w:ascii="宋体" w:hAnsi="宋体" w:eastAsia="宋体" w:cs="宋体"/>
          <w:b w:val="0"/>
          <w:bCs/>
          <w:color w:val="auto"/>
          <w:kern w:val="2"/>
          <w:sz w:val="22"/>
          <w:szCs w:val="22"/>
          <w:highlight w:val="none"/>
          <w:lang w:eastAsia="zh-CN"/>
        </w:rPr>
        <w:t>。</w:t>
      </w:r>
    </w:p>
    <w:p w14:paraId="4BDC7D2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1.4、</w:t>
      </w:r>
      <w:r>
        <w:rPr>
          <w:rFonts w:hint="eastAsia" w:ascii="宋体" w:hAnsi="宋体" w:eastAsia="宋体" w:cs="宋体"/>
          <w:b w:val="0"/>
          <w:bCs/>
          <w:color w:val="auto"/>
          <w:kern w:val="2"/>
          <w:sz w:val="22"/>
          <w:szCs w:val="22"/>
          <w:highlight w:val="none"/>
        </w:rPr>
        <w:t>液化天然气</w:t>
      </w:r>
      <w:r>
        <w:rPr>
          <w:rFonts w:hint="eastAsia" w:ascii="宋体" w:hAnsi="宋体" w:eastAsia="宋体" w:cs="宋体"/>
          <w:b w:val="0"/>
          <w:bCs/>
          <w:color w:val="auto"/>
          <w:kern w:val="2"/>
          <w:sz w:val="22"/>
          <w:szCs w:val="22"/>
          <w:highlight w:val="none"/>
          <w:lang w:eastAsia="zh-CN"/>
        </w:rPr>
        <w:t>(LNG)起运接收站：采购人在《供货通知单》中指定的接收站作为中标供应商液化天然气(LNG)起运接收站。</w:t>
      </w:r>
    </w:p>
    <w:p w14:paraId="4D96ECC4">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1.5、提供采购人所需的气站，并提供合同期内气站维保服务。气站规格如下：</w:t>
      </w:r>
    </w:p>
    <w:p w14:paraId="0C9F5335">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内容器容积：20±2m³</w:t>
      </w:r>
    </w:p>
    <w:p w14:paraId="09F99A1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外容器容积：14±2m³</w:t>
      </w:r>
    </w:p>
    <w:p w14:paraId="6ADA103B">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内容器内径：1750±100mm</w:t>
      </w:r>
    </w:p>
    <w:p w14:paraId="15C130CB">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外容器内径：2200±100mm</w:t>
      </w:r>
    </w:p>
    <w:p w14:paraId="5D5762AE">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容器高：10000mm±100mm</w:t>
      </w:r>
    </w:p>
    <w:p w14:paraId="399BCFE6">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罐体材料：内筒体S30408；内封头S30408；外筒体Q245R；外封头Q245R</w:t>
      </w:r>
    </w:p>
    <w:p w14:paraId="1A6116A0">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厚度：内筒体≥5mm；内封头≥6mm；外筒体≥8mm；外封头≥8mm</w:t>
      </w:r>
    </w:p>
    <w:p w14:paraId="49083D8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设计压力：内容器0.8MPa；外容器-0.1MPa</w:t>
      </w:r>
    </w:p>
    <w:p w14:paraId="3CCD6D38">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设计温度：内容器-196℃；外容器50℃</w:t>
      </w:r>
    </w:p>
    <w:p w14:paraId="406DF4A4">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最高允许工作压力：内容器0.82MPa</w:t>
      </w:r>
    </w:p>
    <w:p w14:paraId="1E43F89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安全附件及有关装置：压力表、液位计、容器安全阀</w:t>
      </w:r>
    </w:p>
    <w:p w14:paraId="61345BA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气站基础配套安装及施工。</w:t>
      </w:r>
    </w:p>
    <w:p w14:paraId="55336042">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2、</w:t>
      </w:r>
      <w:r>
        <w:rPr>
          <w:rFonts w:hint="eastAsia" w:ascii="宋体" w:hAnsi="宋体" w:eastAsia="宋体" w:cs="宋体"/>
          <w:b w:val="0"/>
          <w:bCs/>
          <w:color w:val="auto"/>
          <w:kern w:val="2"/>
          <w:sz w:val="22"/>
          <w:szCs w:val="22"/>
          <w:highlight w:val="none"/>
        </w:rPr>
        <w:t>标的物及质量</w:t>
      </w:r>
    </w:p>
    <w:p w14:paraId="64470AD5">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2.1、合同标的物为液化天然气（以下简称“LNG”）。</w:t>
      </w:r>
    </w:p>
    <w:p w14:paraId="04D5B84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2.2、</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销售给</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的LNG质量符合中华人民共和国国家标准《天然气》（GB 17820）最新标准中所规定的二类天然气气质标准</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如有更新以最新标准为准</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。气源为浙江省区域内</w:t>
      </w:r>
      <w:r>
        <w:rPr>
          <w:rFonts w:hint="eastAsia" w:ascii="宋体" w:hAnsi="宋体" w:eastAsia="宋体" w:cs="宋体"/>
          <w:b w:val="0"/>
          <w:bCs/>
          <w:color w:val="auto"/>
          <w:kern w:val="2"/>
          <w:sz w:val="22"/>
          <w:szCs w:val="22"/>
          <w:highlight w:val="none"/>
          <w:lang w:eastAsia="zh-CN"/>
        </w:rPr>
        <w:t>浙江宁波</w:t>
      </w:r>
      <w:r>
        <w:rPr>
          <w:rFonts w:hint="eastAsia" w:ascii="宋体" w:hAnsi="宋体" w:eastAsia="宋体" w:cs="宋体"/>
          <w:b w:val="0"/>
          <w:bCs/>
          <w:color w:val="auto"/>
          <w:kern w:val="2"/>
          <w:sz w:val="22"/>
          <w:szCs w:val="22"/>
          <w:highlight w:val="none"/>
          <w:lang w:val="en-US" w:eastAsia="zh-CN"/>
        </w:rPr>
        <w:t>接收站</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当浙江省区域内</w:t>
      </w:r>
      <w:r>
        <w:rPr>
          <w:rFonts w:hint="eastAsia" w:ascii="宋体" w:hAnsi="宋体" w:eastAsia="宋体" w:cs="宋体"/>
          <w:b w:val="0"/>
          <w:bCs/>
          <w:color w:val="auto"/>
          <w:kern w:val="2"/>
          <w:sz w:val="22"/>
          <w:szCs w:val="22"/>
          <w:highlight w:val="none"/>
          <w:lang w:eastAsia="zh-CN"/>
        </w:rPr>
        <w:t>浙江宁波</w:t>
      </w:r>
      <w:r>
        <w:rPr>
          <w:rFonts w:hint="eastAsia" w:ascii="宋体" w:hAnsi="宋体" w:eastAsia="宋体" w:cs="宋体"/>
          <w:b w:val="0"/>
          <w:bCs/>
          <w:color w:val="auto"/>
          <w:kern w:val="2"/>
          <w:sz w:val="22"/>
          <w:szCs w:val="22"/>
          <w:highlight w:val="none"/>
        </w:rPr>
        <w:t>接收站供货确有困难时，经</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书面申请，</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同意后可提供其他符合要求的气源，双方重新商量价格，以价格确认函形式确认为准。</w:t>
      </w:r>
    </w:p>
    <w:p w14:paraId="472846CB">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2</w:t>
      </w:r>
      <w:r>
        <w:rPr>
          <w:rFonts w:hint="eastAsia" w:ascii="宋体" w:hAnsi="宋体" w:eastAsia="宋体" w:cs="宋体"/>
          <w:b w:val="0"/>
          <w:bCs/>
          <w:color w:val="auto"/>
          <w:kern w:val="2"/>
          <w:sz w:val="22"/>
          <w:szCs w:val="22"/>
          <w:highlight w:val="none"/>
        </w:rPr>
        <w:t>.3</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除GB17820中规定的二类气标准的证明文件外，</w:t>
      </w:r>
      <w:r>
        <w:rPr>
          <w:rFonts w:hint="eastAsia" w:ascii="宋体" w:hAnsi="宋体" w:eastAsia="宋体" w:cs="宋体"/>
          <w:b w:val="0"/>
          <w:bCs/>
          <w:color w:val="auto"/>
          <w:kern w:val="2"/>
          <w:sz w:val="22"/>
          <w:szCs w:val="22"/>
          <w:highlight w:val="none"/>
          <w:lang w:eastAsia="zh-CN"/>
        </w:rPr>
        <w:t>采购人有权要求中标供应商</w:t>
      </w:r>
      <w:r>
        <w:rPr>
          <w:rFonts w:hint="eastAsia" w:ascii="宋体" w:hAnsi="宋体" w:eastAsia="宋体" w:cs="宋体"/>
          <w:b w:val="0"/>
          <w:bCs/>
          <w:color w:val="auto"/>
          <w:kern w:val="2"/>
          <w:sz w:val="22"/>
          <w:szCs w:val="22"/>
          <w:highlight w:val="none"/>
        </w:rPr>
        <w:t>在供货时负责向</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提供LNG中其它气质指标证明文件。</w:t>
      </w:r>
    </w:p>
    <w:p w14:paraId="691DE42A">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2</w:t>
      </w:r>
      <w:r>
        <w:rPr>
          <w:rFonts w:hint="eastAsia" w:ascii="宋体" w:hAnsi="宋体" w:eastAsia="宋体" w:cs="宋体"/>
          <w:b w:val="0"/>
          <w:bCs/>
          <w:color w:val="auto"/>
          <w:kern w:val="2"/>
          <w:sz w:val="22"/>
          <w:szCs w:val="22"/>
          <w:highlight w:val="none"/>
        </w:rPr>
        <w:t>.4</w:t>
      </w:r>
      <w:r>
        <w:rPr>
          <w:rFonts w:hint="eastAsia" w:ascii="宋体" w:hAnsi="宋体" w:eastAsia="宋体" w:cs="宋体"/>
          <w:b w:val="0"/>
          <w:bCs/>
          <w:color w:val="auto"/>
          <w:kern w:val="2"/>
          <w:sz w:val="22"/>
          <w:szCs w:val="22"/>
          <w:highlight w:val="none"/>
          <w:lang w:eastAsia="zh-CN"/>
        </w:rPr>
        <w:t>、中标供应商须</w:t>
      </w:r>
      <w:r>
        <w:rPr>
          <w:rFonts w:hint="eastAsia" w:ascii="宋体" w:hAnsi="宋体" w:eastAsia="宋体" w:cs="宋体"/>
          <w:b w:val="0"/>
          <w:bCs/>
          <w:color w:val="auto"/>
          <w:kern w:val="2"/>
          <w:sz w:val="22"/>
          <w:szCs w:val="22"/>
          <w:highlight w:val="none"/>
        </w:rPr>
        <w:t>在每次供货时</w:t>
      </w:r>
      <w:r>
        <w:rPr>
          <w:rFonts w:hint="eastAsia" w:ascii="宋体" w:hAnsi="宋体" w:eastAsia="宋体" w:cs="宋体"/>
          <w:b w:val="0"/>
          <w:bCs/>
          <w:color w:val="auto"/>
          <w:kern w:val="2"/>
          <w:sz w:val="22"/>
          <w:szCs w:val="22"/>
          <w:highlight w:val="none"/>
          <w:lang w:eastAsia="zh-CN"/>
        </w:rPr>
        <w:t>须向采购人</w:t>
      </w:r>
      <w:r>
        <w:rPr>
          <w:rFonts w:hint="eastAsia" w:ascii="宋体" w:hAnsi="宋体" w:eastAsia="宋体" w:cs="宋体"/>
          <w:b w:val="0"/>
          <w:bCs/>
          <w:color w:val="auto"/>
          <w:kern w:val="2"/>
          <w:sz w:val="22"/>
          <w:szCs w:val="22"/>
          <w:highlight w:val="none"/>
        </w:rPr>
        <w:t>提供所供气体的</w:t>
      </w:r>
      <w:r>
        <w:rPr>
          <w:rFonts w:hint="eastAsia" w:ascii="宋体" w:hAnsi="宋体" w:eastAsia="宋体" w:cs="宋体"/>
          <w:b w:val="0"/>
          <w:bCs/>
          <w:color w:val="auto"/>
          <w:kern w:val="2"/>
          <w:sz w:val="22"/>
          <w:szCs w:val="22"/>
          <w:highlight w:val="none"/>
          <w:lang w:eastAsia="zh-CN"/>
        </w:rPr>
        <w:t>最新</w:t>
      </w:r>
      <w:r>
        <w:rPr>
          <w:rFonts w:hint="eastAsia" w:ascii="宋体" w:hAnsi="宋体" w:eastAsia="宋体" w:cs="宋体"/>
          <w:b w:val="0"/>
          <w:bCs/>
          <w:color w:val="auto"/>
          <w:kern w:val="2"/>
          <w:sz w:val="22"/>
          <w:szCs w:val="22"/>
          <w:highlight w:val="none"/>
        </w:rPr>
        <w:t>上游气源单位出具的天然气气质参数报告或质量证明书（加盖公章）的复印件（含成分分析表和热值报告）。</w:t>
      </w:r>
    </w:p>
    <w:p w14:paraId="59C165A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供气量与确认</w:t>
      </w:r>
    </w:p>
    <w:p w14:paraId="358FA40D">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.1</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进货时须</w:t>
      </w:r>
      <w:r>
        <w:rPr>
          <w:rFonts w:hint="eastAsia" w:ascii="宋体" w:hAnsi="宋体" w:eastAsia="宋体" w:cs="宋体"/>
          <w:b w:val="0"/>
          <w:bCs/>
          <w:color w:val="auto"/>
          <w:kern w:val="2"/>
          <w:sz w:val="22"/>
          <w:szCs w:val="22"/>
          <w:highlight w:val="none"/>
          <w:lang w:eastAsia="zh-CN"/>
        </w:rPr>
        <w:t>在</w:t>
      </w:r>
      <w:r>
        <w:rPr>
          <w:rFonts w:hint="eastAsia" w:ascii="宋体" w:hAnsi="宋体" w:eastAsia="宋体" w:cs="宋体"/>
          <w:b w:val="0"/>
          <w:bCs/>
          <w:color w:val="auto"/>
          <w:kern w:val="2"/>
          <w:sz w:val="22"/>
          <w:szCs w:val="22"/>
          <w:highlight w:val="none"/>
        </w:rPr>
        <w:t>供气日提前36小时向</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报供货计划量《供货通知单》（盖公章），以快递、传真、电子扫描件或电子邮件等方式发送至</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。供货计划量应包含以下内容：①供应气量；②到货时间；③供应地点。</w:t>
      </w:r>
    </w:p>
    <w:p w14:paraId="54989DE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.2</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收到</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《供货通知单》6小时内</w:t>
      </w:r>
      <w:r>
        <w:rPr>
          <w:rFonts w:hint="eastAsia" w:ascii="宋体" w:hAnsi="宋体" w:eastAsia="宋体" w:cs="宋体"/>
          <w:b w:val="0"/>
          <w:bCs/>
          <w:color w:val="auto"/>
          <w:kern w:val="2"/>
          <w:sz w:val="22"/>
          <w:szCs w:val="22"/>
          <w:highlight w:val="none"/>
          <w:lang w:val="en-US" w:eastAsia="zh-CN"/>
        </w:rPr>
        <w:t>书面确认</w:t>
      </w:r>
      <w:r>
        <w:rPr>
          <w:rFonts w:hint="eastAsia" w:ascii="宋体" w:hAnsi="宋体" w:eastAsia="宋体" w:cs="宋体"/>
          <w:b w:val="0"/>
          <w:bCs/>
          <w:color w:val="auto"/>
          <w:kern w:val="2"/>
          <w:sz w:val="22"/>
          <w:szCs w:val="22"/>
          <w:highlight w:val="none"/>
        </w:rPr>
        <w:t>可供应气量、结算单价、到车时间等，并按</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的《供货通知单》规定时间送货到位。</w:t>
      </w:r>
    </w:p>
    <w:p w14:paraId="25D341A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.3</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供应气量按</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和投标人双方书面确认的气量对账单进行结算。</w:t>
      </w:r>
    </w:p>
    <w:p w14:paraId="14B2B6F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3</w:t>
      </w:r>
      <w:r>
        <w:rPr>
          <w:rFonts w:hint="eastAsia" w:ascii="宋体" w:hAnsi="宋体" w:eastAsia="宋体" w:cs="宋体"/>
          <w:b w:val="0"/>
          <w:bCs/>
          <w:color w:val="auto"/>
          <w:kern w:val="2"/>
          <w:sz w:val="22"/>
          <w:szCs w:val="22"/>
          <w:highlight w:val="none"/>
        </w:rPr>
        <w:t>.4</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可在《供货通知单》发出后，距供货时间12小时之前，有权根据实际情况书面通知取消供货通知、减少供货量或延后到货时间。距供货时间不足12小时的，双方协商解决。</w:t>
      </w:r>
    </w:p>
    <w:p w14:paraId="3D0B608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eastAsia="zh-CN"/>
        </w:rPr>
      </w:pPr>
      <w:r>
        <w:rPr>
          <w:rFonts w:hint="eastAsia" w:ascii="宋体" w:hAnsi="宋体" w:eastAsia="宋体" w:cs="宋体"/>
          <w:b w:val="0"/>
          <w:bCs/>
          <w:color w:val="auto"/>
          <w:kern w:val="2"/>
          <w:sz w:val="22"/>
          <w:szCs w:val="22"/>
          <w:highlight w:val="none"/>
          <w:lang w:val="en-US" w:eastAsia="zh-CN"/>
        </w:rPr>
        <w:t>4、</w:t>
      </w:r>
      <w:r>
        <w:rPr>
          <w:rFonts w:hint="eastAsia" w:ascii="宋体" w:hAnsi="宋体" w:eastAsia="宋体" w:cs="宋体"/>
          <w:b w:val="0"/>
          <w:bCs/>
          <w:color w:val="auto"/>
          <w:kern w:val="2"/>
          <w:sz w:val="22"/>
          <w:szCs w:val="22"/>
          <w:highlight w:val="none"/>
        </w:rPr>
        <w:t>结算价格的确</w:t>
      </w:r>
      <w:r>
        <w:rPr>
          <w:rFonts w:hint="eastAsia" w:ascii="宋体" w:hAnsi="宋体" w:eastAsia="宋体" w:cs="宋体"/>
          <w:b w:val="0"/>
          <w:bCs/>
          <w:color w:val="auto"/>
          <w:kern w:val="2"/>
          <w:sz w:val="22"/>
          <w:szCs w:val="22"/>
          <w:highlight w:val="none"/>
          <w:lang w:eastAsia="zh-CN"/>
        </w:rPr>
        <w:t>定</w:t>
      </w:r>
    </w:p>
    <w:p w14:paraId="5EB9D362">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4.1、组价说明：</w:t>
      </w:r>
    </w:p>
    <w:p w14:paraId="33B2C80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bCs w:val="0"/>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4.1.1、液化天然气结算单价（元/吨）=采购人《供货通知单》发出当日的</w:t>
      </w:r>
      <w:r>
        <w:rPr>
          <w:rFonts w:hint="eastAsia" w:ascii="宋体" w:hAnsi="宋体" w:eastAsia="宋体" w:cs="宋体"/>
          <w:b/>
          <w:bCs w:val="0"/>
          <w:color w:val="auto"/>
          <w:kern w:val="2"/>
          <w:sz w:val="22"/>
          <w:szCs w:val="22"/>
          <w:highlight w:val="none"/>
          <w:lang w:val="en-US" w:eastAsia="zh-CN"/>
        </w:rPr>
        <w:t>浙江宁波接收站基准价（中海石油气电集团有限公司浙江分公司华东浙沪市场价格调整公告内浙江地区基准价）*中标折扣率</w:t>
      </w:r>
    </w:p>
    <w:p w14:paraId="24F38EA7">
      <w:pPr>
        <w:keepNext w:val="0"/>
        <w:keepLines w:val="0"/>
        <w:pageBreakBefore w:val="0"/>
        <w:kinsoku/>
        <w:wordWrap w:val="0"/>
        <w:overflowPunct/>
        <w:topLinePunct w:val="0"/>
        <w:autoSpaceDE w:val="0"/>
        <w:autoSpaceDN w:val="0"/>
        <w:bidi w:val="0"/>
        <w:snapToGrid w:val="0"/>
        <w:spacing w:line="360" w:lineRule="auto"/>
        <w:ind w:firstLine="442" w:firstLineChars="200"/>
        <w:textAlignment w:val="bottom"/>
        <w:rPr>
          <w:rFonts w:hint="eastAsia" w:ascii="宋体" w:hAnsi="宋体" w:eastAsia="宋体" w:cs="宋体"/>
          <w:b/>
          <w:bCs w:val="0"/>
          <w:color w:val="auto"/>
          <w:kern w:val="2"/>
          <w:sz w:val="22"/>
          <w:szCs w:val="22"/>
          <w:highlight w:val="none"/>
          <w:lang w:val="en-US" w:eastAsia="zh-CN"/>
        </w:rPr>
      </w:pPr>
      <w:r>
        <w:rPr>
          <w:rFonts w:hint="eastAsia" w:ascii="宋体" w:hAnsi="宋体" w:cs="宋体"/>
          <w:b/>
          <w:bCs w:val="0"/>
          <w:color w:val="auto"/>
          <w:kern w:val="2"/>
          <w:sz w:val="22"/>
          <w:szCs w:val="22"/>
          <w:highlight w:val="none"/>
          <w:lang w:val="en-US" w:eastAsia="zh-CN"/>
        </w:rPr>
        <w:t>4.1.2</w:t>
      </w:r>
      <w:r>
        <w:rPr>
          <w:rFonts w:hint="eastAsia" w:ascii="宋体" w:hAnsi="宋体" w:eastAsia="宋体" w:cs="宋体"/>
          <w:b/>
          <w:bCs w:val="0"/>
          <w:color w:val="auto"/>
          <w:kern w:val="2"/>
          <w:sz w:val="22"/>
          <w:szCs w:val="22"/>
          <w:highlight w:val="none"/>
          <w:lang w:val="en-US" w:eastAsia="zh-CN"/>
        </w:rPr>
        <w:t>运费</w:t>
      </w:r>
      <w:r>
        <w:rPr>
          <w:rFonts w:hint="eastAsia" w:ascii="宋体" w:hAnsi="宋体" w:cs="宋体"/>
          <w:b/>
          <w:bCs w:val="0"/>
          <w:color w:val="auto"/>
          <w:kern w:val="2"/>
          <w:sz w:val="22"/>
          <w:szCs w:val="22"/>
          <w:highlight w:val="none"/>
          <w:lang w:val="en-US" w:eastAsia="zh-CN"/>
        </w:rPr>
        <w:t>：</w:t>
      </w:r>
      <w:r>
        <w:rPr>
          <w:rFonts w:hint="eastAsia" w:ascii="宋体" w:hAnsi="宋体" w:eastAsia="宋体" w:cs="宋体"/>
          <w:b/>
          <w:bCs w:val="0"/>
          <w:color w:val="auto"/>
          <w:kern w:val="2"/>
          <w:sz w:val="22"/>
          <w:szCs w:val="22"/>
          <w:highlight w:val="none"/>
          <w:lang w:val="en-US" w:eastAsia="zh-CN"/>
        </w:rPr>
        <w:t>530元/吨*中标折扣率</w:t>
      </w:r>
    </w:p>
    <w:p w14:paraId="5D5F8E84">
      <w:pPr>
        <w:keepNext w:val="0"/>
        <w:keepLines w:val="0"/>
        <w:pageBreakBefore w:val="0"/>
        <w:kinsoku/>
        <w:wordWrap w:val="0"/>
        <w:overflowPunct/>
        <w:topLinePunct w:val="0"/>
        <w:autoSpaceDE w:val="0"/>
        <w:autoSpaceDN w:val="0"/>
        <w:bidi w:val="0"/>
        <w:snapToGrid w:val="0"/>
        <w:spacing w:line="360" w:lineRule="auto"/>
        <w:ind w:firstLine="442" w:firstLineChars="200"/>
        <w:textAlignment w:val="bottom"/>
        <w:rPr>
          <w:rFonts w:hint="eastAsia" w:ascii="宋体" w:hAnsi="宋体" w:eastAsia="宋体" w:cs="宋体"/>
          <w:b/>
          <w:bCs w:val="0"/>
          <w:color w:val="auto"/>
          <w:kern w:val="2"/>
          <w:sz w:val="22"/>
          <w:szCs w:val="22"/>
          <w:highlight w:val="none"/>
          <w:lang w:val="en-US" w:eastAsia="zh-CN"/>
        </w:rPr>
      </w:pPr>
      <w:r>
        <w:rPr>
          <w:rFonts w:hint="eastAsia" w:ascii="宋体" w:hAnsi="宋体" w:cs="宋体"/>
          <w:b/>
          <w:bCs w:val="0"/>
          <w:color w:val="auto"/>
          <w:kern w:val="2"/>
          <w:sz w:val="22"/>
          <w:szCs w:val="22"/>
          <w:highlight w:val="none"/>
          <w:lang w:val="en-US" w:eastAsia="zh-CN"/>
        </w:rPr>
        <w:t>4.1.3</w:t>
      </w:r>
      <w:r>
        <w:rPr>
          <w:rFonts w:hint="eastAsia" w:ascii="宋体" w:hAnsi="宋体" w:eastAsia="宋体" w:cs="宋体"/>
          <w:b/>
          <w:bCs w:val="0"/>
          <w:color w:val="auto"/>
          <w:sz w:val="22"/>
          <w:szCs w:val="22"/>
          <w:lang w:val="en-US" w:eastAsia="zh-CN"/>
        </w:rPr>
        <w:t>气站维护费：78000元*中标折扣率。</w:t>
      </w:r>
    </w:p>
    <w:p w14:paraId="256D3DC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付款和结算</w:t>
      </w:r>
    </w:p>
    <w:p w14:paraId="49C376CA">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.1</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天然气费用结算方式：本合同采用先到货后付款，月结形式。每月20日完成上月费用对账及开具增值税发票。采购人收到供应商完整财务支付相关材料后10日内</w:t>
      </w:r>
      <w:bookmarkStart w:id="28" w:name="OLE_LINK6"/>
      <w:bookmarkStart w:id="29" w:name="OLE_LINK7"/>
      <w:r>
        <w:rPr>
          <w:rFonts w:hint="eastAsia" w:ascii="宋体" w:hAnsi="宋体" w:eastAsia="宋体" w:cs="宋体"/>
          <w:b w:val="0"/>
          <w:bCs/>
          <w:color w:val="auto"/>
          <w:kern w:val="2"/>
          <w:sz w:val="22"/>
          <w:szCs w:val="22"/>
          <w:highlight w:val="none"/>
          <w:lang w:val="en-US" w:eastAsia="zh-CN"/>
        </w:rPr>
        <w:t>给乙方付款</w:t>
      </w:r>
      <w:bookmarkEnd w:id="28"/>
      <w:bookmarkEnd w:id="29"/>
      <w:r>
        <w:rPr>
          <w:rFonts w:hint="eastAsia" w:ascii="宋体" w:hAnsi="宋体" w:eastAsia="宋体" w:cs="宋体"/>
          <w:b w:val="0"/>
          <w:bCs/>
          <w:color w:val="auto"/>
          <w:kern w:val="2"/>
          <w:sz w:val="22"/>
          <w:szCs w:val="22"/>
          <w:highlight w:val="none"/>
          <w:lang w:val="en-US" w:eastAsia="zh-CN"/>
        </w:rPr>
        <w:t>。计量方式:按吨结算，双方应在过磅单上签字确认接收数量，交由双方财务保管。</w:t>
      </w:r>
    </w:p>
    <w:p w14:paraId="79AE964E">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气站维护服务费支付方式：在签订合同且收到供应商提供的齐全有效相关付款资料后10个工作日内采购人支付40%的天然气站维护服务费，服务期满后并收到供应商提交的齐全有效相关付款资料后7个工作日内采购人支付剩余费用。</w:t>
      </w:r>
    </w:p>
    <w:p w14:paraId="4DDA1B6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.3</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开具的对账单中存在有关供货量结算、计算或其他误差的，</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应及时通知</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，并经</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核对确认无误后开具增值税专用发票。</w:t>
      </w:r>
    </w:p>
    <w:p w14:paraId="12EB183E">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.5</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履约保证金：</w:t>
      </w:r>
      <w:r>
        <w:rPr>
          <w:rFonts w:hint="eastAsia" w:ascii="宋体" w:hAnsi="宋体" w:eastAsia="宋体" w:cs="宋体"/>
          <w:b w:val="0"/>
          <w:bCs/>
          <w:color w:val="auto"/>
          <w:kern w:val="2"/>
          <w:sz w:val="22"/>
          <w:szCs w:val="22"/>
          <w:highlight w:val="none"/>
          <w:lang w:val="en-US" w:eastAsia="zh-CN"/>
        </w:rPr>
        <w:t>合同金额1%（本项目为合同预算金额）</w:t>
      </w:r>
      <w:r>
        <w:rPr>
          <w:rFonts w:hint="eastAsia" w:ascii="宋体" w:hAnsi="宋体" w:eastAsia="宋体" w:cs="宋体"/>
          <w:b w:val="0"/>
          <w:bCs/>
          <w:color w:val="auto"/>
          <w:kern w:val="2"/>
          <w:sz w:val="22"/>
          <w:szCs w:val="22"/>
          <w:highlight w:val="none"/>
          <w:lang w:val="zh-CN"/>
        </w:rPr>
        <w:t>，中标供应商在合同签订后7个工作日内交纳，未在规定时间内缴纳履约保证金的，采购人有权终止合同，并要求中标供应商赔偿</w:t>
      </w:r>
      <w:r>
        <w:rPr>
          <w:rFonts w:hint="eastAsia" w:ascii="宋体" w:hAnsi="宋体" w:eastAsia="宋体" w:cs="宋体"/>
          <w:b w:val="0"/>
          <w:bCs/>
          <w:color w:val="auto"/>
          <w:kern w:val="2"/>
          <w:sz w:val="22"/>
          <w:szCs w:val="22"/>
          <w:highlight w:val="none"/>
          <w:lang w:val="zh-CN" w:eastAsia="zh-CN"/>
        </w:rPr>
        <w:t>解除合同的相应损失</w:t>
      </w:r>
      <w:r>
        <w:rPr>
          <w:rFonts w:hint="eastAsia" w:ascii="宋体" w:hAnsi="宋体" w:eastAsia="宋体" w:cs="宋体"/>
          <w:b w:val="0"/>
          <w:bCs/>
          <w:color w:val="auto"/>
          <w:kern w:val="2"/>
          <w:sz w:val="22"/>
          <w:szCs w:val="22"/>
          <w:highlight w:val="none"/>
          <w:lang w:val="zh-CN"/>
        </w:rPr>
        <w:t>，可以采用现金、支票、汇票或保函（保险公司保险、银行保函、专业担保公司担保）的形式提交。</w:t>
      </w:r>
      <w:r>
        <w:rPr>
          <w:rFonts w:hint="eastAsia" w:ascii="宋体" w:hAnsi="宋体" w:eastAsia="宋体" w:cs="宋体"/>
          <w:b w:val="0"/>
          <w:bCs/>
          <w:color w:val="auto"/>
          <w:kern w:val="2"/>
          <w:sz w:val="22"/>
          <w:szCs w:val="22"/>
          <w:highlight w:val="none"/>
        </w:rPr>
        <w:t>待履行供货合同完毕、验收合格且不存在违约行为后7个工作日内予以退还（不计息）。</w:t>
      </w:r>
    </w:p>
    <w:p w14:paraId="7C69CB3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 xml:space="preserve">交付  </w:t>
      </w:r>
    </w:p>
    <w:p w14:paraId="4D8259F2">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.1</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交付地点及联系人</w:t>
      </w:r>
    </w:p>
    <w:p w14:paraId="31A08CE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.1.1</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指定的LNG交付地点</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温州市平阳县雁荡山君澜度假酒店旁气站</w:t>
      </w:r>
      <w:r>
        <w:rPr>
          <w:rFonts w:hint="eastAsia" w:ascii="宋体" w:hAnsi="宋体" w:eastAsia="宋体" w:cs="宋体"/>
          <w:b w:val="0"/>
          <w:bCs/>
          <w:color w:val="auto"/>
          <w:kern w:val="2"/>
          <w:sz w:val="22"/>
          <w:szCs w:val="22"/>
          <w:highlight w:val="none"/>
        </w:rPr>
        <w:t>。若发生非不可抗力事件导致供气延误的，中标供应商需及时向采购人反映情况(最迟不超过2小时)，并出具书面通知，说明延误原因、预计影响时长及拟采取的补救措施，并在发出通知书后24小时内解决供气问题，否则视为中标供应商逾期交付;若发生不可抗力事件导致供气延误的，中标供应商应在事件发生后24小时内向采购人提交书面通知书及相关佐证材料</w:t>
      </w:r>
      <w:r>
        <w:rPr>
          <w:rFonts w:hint="eastAsia" w:ascii="宋体" w:hAnsi="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如官方公告第三方证明等，逾期未通知或未提供有效证明的，不得主张不可抗力免责，仍按逾期交付处理</w:t>
      </w:r>
      <w:r>
        <w:rPr>
          <w:rFonts w:hint="eastAsia" w:ascii="宋体" w:hAnsi="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 xml:space="preserve">，双方应根据不可抗力事件对供气能力影响程度协商确定延迟供货期限。协商期限不超过2个工作日，届时若无法达成一致，采购人有权单方合理确定延长期限，或解除合同并要求中标供应商承担相应责任中标供应商应尽最大努力减少因不可抗力对采购人造成的不利影响。不可抗力事件结束后，中标供应商应在24小时内恢复供气，否则按非不可抗力逾期交付处理。                   </w:t>
      </w:r>
    </w:p>
    <w:p w14:paraId="25199D27">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.1</w:t>
      </w:r>
      <w:r>
        <w:rPr>
          <w:rFonts w:hint="eastAsia" w:ascii="宋体" w:hAnsi="宋体" w:eastAsia="宋体" w:cs="宋体"/>
          <w:b w:val="0"/>
          <w:bCs/>
          <w:color w:val="auto"/>
          <w:kern w:val="2"/>
          <w:sz w:val="22"/>
          <w:szCs w:val="22"/>
          <w:highlight w:val="none"/>
          <w:lang w:val="en-US" w:eastAsia="zh-CN"/>
        </w:rPr>
        <w:t>.2、中标供应商驾驶员提前到达交付地点时，需把车辆停放至安全合理的位置，采购人不提供槽车停放地点，期间槽车发生任何安全事故由中标供应商自行承担。</w:t>
      </w:r>
    </w:p>
    <w:p w14:paraId="16157F50">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.2</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交付分工：LNG卸载时，</w:t>
      </w:r>
      <w:r>
        <w:rPr>
          <w:rFonts w:hint="eastAsia" w:ascii="宋体" w:hAnsi="宋体" w:eastAsia="宋体" w:cs="宋体"/>
          <w:b w:val="0"/>
          <w:bCs/>
          <w:color w:val="auto"/>
          <w:kern w:val="2"/>
          <w:sz w:val="22"/>
          <w:szCs w:val="22"/>
          <w:highlight w:val="none"/>
          <w:lang w:val="en-US" w:eastAsia="zh-CN"/>
        </w:rPr>
        <w:t>中标供应商</w:t>
      </w:r>
      <w:r>
        <w:rPr>
          <w:rFonts w:hint="eastAsia" w:ascii="宋体" w:hAnsi="宋体" w:eastAsia="宋体" w:cs="宋体"/>
          <w:b w:val="0"/>
          <w:bCs/>
          <w:color w:val="auto"/>
          <w:kern w:val="2"/>
          <w:sz w:val="22"/>
          <w:szCs w:val="22"/>
          <w:highlight w:val="none"/>
        </w:rPr>
        <w:t>操作人员负责储</w:t>
      </w:r>
      <w:r>
        <w:rPr>
          <w:rFonts w:hint="eastAsia" w:ascii="宋体" w:hAnsi="宋体" w:eastAsia="宋体" w:cs="宋体"/>
          <w:b w:val="0"/>
          <w:bCs/>
          <w:color w:val="auto"/>
          <w:kern w:val="2"/>
          <w:sz w:val="22"/>
          <w:szCs w:val="22"/>
          <w:highlight w:val="none"/>
          <w:lang w:eastAsia="zh-CN"/>
        </w:rPr>
        <w:t>气</w:t>
      </w:r>
      <w:r>
        <w:rPr>
          <w:rFonts w:hint="eastAsia" w:ascii="宋体" w:hAnsi="宋体" w:eastAsia="宋体" w:cs="宋体"/>
          <w:b w:val="0"/>
          <w:bCs/>
          <w:color w:val="auto"/>
          <w:kern w:val="2"/>
          <w:sz w:val="22"/>
          <w:szCs w:val="22"/>
          <w:highlight w:val="none"/>
        </w:rPr>
        <w:t>站内所属设备、工具或部件的操作；</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驾驶员负责运输车辆所属设备、工具或部件的操作，并尽量将车内液化</w:t>
      </w:r>
      <w:r>
        <w:rPr>
          <w:rFonts w:hint="eastAsia" w:ascii="宋体" w:hAnsi="宋体" w:eastAsia="宋体" w:cs="宋体"/>
          <w:b w:val="0"/>
          <w:bCs/>
          <w:color w:val="auto"/>
          <w:kern w:val="2"/>
          <w:sz w:val="22"/>
          <w:szCs w:val="22"/>
          <w:highlight w:val="none"/>
          <w:lang w:val="en-US" w:eastAsia="zh-CN"/>
        </w:rPr>
        <w:t>天然气</w:t>
      </w:r>
      <w:r>
        <w:rPr>
          <w:rFonts w:hint="eastAsia" w:ascii="宋体" w:hAnsi="宋体" w:eastAsia="宋体" w:cs="宋体"/>
          <w:b w:val="0"/>
          <w:bCs/>
          <w:color w:val="auto"/>
          <w:kern w:val="2"/>
          <w:sz w:val="22"/>
          <w:szCs w:val="22"/>
          <w:highlight w:val="none"/>
        </w:rPr>
        <w:t>LNG卸载干净。如因</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操作不当引起的风险，由</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承担全部责任及其带来的一切经济损失。</w:t>
      </w:r>
    </w:p>
    <w:p w14:paraId="24FC7624">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.3</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所有权和交付风险转移：</w:t>
      </w:r>
      <w:r>
        <w:rPr>
          <w:rFonts w:hint="eastAsia" w:ascii="宋体" w:hAnsi="宋体" w:eastAsia="宋体" w:cs="宋体"/>
          <w:b w:val="0"/>
          <w:bCs/>
          <w:color w:val="auto"/>
          <w:kern w:val="2"/>
          <w:sz w:val="22"/>
          <w:szCs w:val="22"/>
          <w:highlight w:val="none"/>
          <w:lang w:val="en-US" w:eastAsia="zh-CN"/>
        </w:rPr>
        <w:t>气站由中标供应商维护，采购人不进入气站作业，气站所有的事项由中标供应商负责，安全责任及风险均由中标供应商负责</w:t>
      </w:r>
      <w:r>
        <w:rPr>
          <w:rFonts w:hint="eastAsia" w:ascii="宋体" w:hAnsi="宋体" w:eastAsia="宋体" w:cs="宋体"/>
          <w:b w:val="0"/>
          <w:bCs/>
          <w:color w:val="auto"/>
          <w:kern w:val="2"/>
          <w:sz w:val="22"/>
          <w:szCs w:val="22"/>
          <w:highlight w:val="none"/>
        </w:rPr>
        <w:t>。</w:t>
      </w:r>
    </w:p>
    <w:p w14:paraId="46392C13">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rPr>
        <w:t>.4</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rPr>
        <w:t>交付气量</w:t>
      </w:r>
    </w:p>
    <w:p w14:paraId="21AF31F8">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zh-CN"/>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lang w:val="zh-CN"/>
        </w:rPr>
        <w:t>.4.1、中标供应商驾驶员应在运货单上签字以确认承运数量。</w:t>
      </w:r>
    </w:p>
    <w:p w14:paraId="28C5BC28">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6</w:t>
      </w:r>
      <w:r>
        <w:rPr>
          <w:rFonts w:hint="eastAsia" w:ascii="宋体" w:hAnsi="宋体" w:eastAsia="宋体" w:cs="宋体"/>
          <w:b w:val="0"/>
          <w:bCs/>
          <w:color w:val="auto"/>
          <w:kern w:val="2"/>
          <w:sz w:val="22"/>
          <w:szCs w:val="22"/>
          <w:highlight w:val="none"/>
          <w:lang w:val="zh-CN"/>
        </w:rPr>
        <w:t>.4.2、采购人应在运货单上签字以确认接收数量</w:t>
      </w:r>
      <w:r>
        <w:rPr>
          <w:rFonts w:hint="eastAsia" w:ascii="宋体" w:hAnsi="宋体" w:eastAsia="宋体" w:cs="宋体"/>
          <w:b w:val="0"/>
          <w:bCs/>
          <w:color w:val="auto"/>
          <w:kern w:val="2"/>
          <w:sz w:val="22"/>
          <w:szCs w:val="22"/>
          <w:highlight w:val="none"/>
        </w:rPr>
        <w:t>。</w:t>
      </w:r>
    </w:p>
    <w:p w14:paraId="48EA0CB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7</w:t>
      </w:r>
      <w:r>
        <w:rPr>
          <w:rFonts w:hint="eastAsia" w:ascii="宋体" w:hAnsi="宋体" w:eastAsia="宋体" w:cs="宋体"/>
          <w:b w:val="0"/>
          <w:bCs/>
          <w:color w:val="auto"/>
          <w:kern w:val="2"/>
          <w:sz w:val="22"/>
          <w:szCs w:val="22"/>
          <w:highlight w:val="none"/>
        </w:rPr>
        <w:t>计 量</w:t>
      </w:r>
    </w:p>
    <w:p w14:paraId="30FF131B">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7</w:t>
      </w:r>
      <w:r>
        <w:rPr>
          <w:rFonts w:hint="eastAsia" w:ascii="宋体" w:hAnsi="宋体" w:eastAsia="宋体" w:cs="宋体"/>
          <w:b w:val="0"/>
          <w:bCs/>
          <w:color w:val="auto"/>
          <w:kern w:val="2"/>
          <w:sz w:val="22"/>
          <w:szCs w:val="22"/>
          <w:highlight w:val="none"/>
        </w:rPr>
        <w:t xml:space="preserve">.1 本合同项下交付的LNG，以重量计量，单位为吨，计量工具为汽车地衡。 </w:t>
      </w:r>
    </w:p>
    <w:p w14:paraId="3525E36D">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7</w:t>
      </w:r>
      <w:r>
        <w:rPr>
          <w:rFonts w:hint="eastAsia" w:ascii="宋体" w:hAnsi="宋体" w:eastAsia="宋体" w:cs="宋体"/>
          <w:b w:val="0"/>
          <w:bCs/>
          <w:color w:val="auto"/>
          <w:kern w:val="2"/>
          <w:sz w:val="22"/>
          <w:szCs w:val="22"/>
          <w:highlight w:val="none"/>
        </w:rPr>
        <w:t>.2 LNG交付量分别以中标供应商LNG装车设施汽车地衡和采购人气站处现场确认过磅重量。原则上每车LNG交付量计量值以中标供应商LNG装车设施汽车地衡的计量值为准，但前提是该车LNG在中标供应商LNG装车设施汽车地衡计量值与采购人气站处现场确认过磅重量计量值的偏差值为正负百分之一（±1%）以内（含±1%），甲、乙双方互不追究。</w:t>
      </w:r>
    </w:p>
    <w:p w14:paraId="69F32AC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2.7</w:t>
      </w:r>
      <w:r>
        <w:rPr>
          <w:rFonts w:hint="eastAsia" w:ascii="宋体" w:hAnsi="宋体" w:eastAsia="宋体" w:cs="宋体"/>
          <w:b w:val="0"/>
          <w:bCs/>
          <w:color w:val="auto"/>
          <w:kern w:val="2"/>
          <w:sz w:val="22"/>
          <w:szCs w:val="22"/>
          <w:highlight w:val="none"/>
        </w:rPr>
        <w:t>.3 如果某车LNG在</w:t>
      </w:r>
      <w:r>
        <w:rPr>
          <w:rFonts w:hint="eastAsia" w:ascii="宋体" w:hAnsi="宋体" w:eastAsia="宋体" w:cs="宋体"/>
          <w:b w:val="0"/>
          <w:bCs/>
          <w:color w:val="auto"/>
          <w:kern w:val="2"/>
          <w:sz w:val="22"/>
          <w:szCs w:val="22"/>
          <w:highlight w:val="none"/>
          <w:lang w:eastAsia="zh-CN"/>
        </w:rPr>
        <w:t>采购人气站处现场确认过磅重量</w:t>
      </w:r>
      <w:r>
        <w:rPr>
          <w:rFonts w:hint="eastAsia" w:ascii="宋体" w:hAnsi="宋体" w:eastAsia="宋体" w:cs="宋体"/>
          <w:b w:val="0"/>
          <w:bCs/>
          <w:color w:val="auto"/>
          <w:kern w:val="2"/>
          <w:sz w:val="22"/>
          <w:szCs w:val="22"/>
          <w:highlight w:val="none"/>
        </w:rPr>
        <w:t>与</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LNG</w:t>
      </w:r>
      <w:r>
        <w:rPr>
          <w:rFonts w:hint="eastAsia" w:ascii="宋体" w:hAnsi="宋体" w:eastAsia="宋体" w:cs="宋体"/>
          <w:b w:val="0"/>
          <w:bCs/>
          <w:color w:val="auto"/>
          <w:kern w:val="2"/>
          <w:sz w:val="22"/>
          <w:szCs w:val="22"/>
          <w:highlight w:val="none"/>
          <w:lang w:val="en-US" w:eastAsia="zh-CN"/>
        </w:rPr>
        <w:t>装车</w:t>
      </w:r>
      <w:r>
        <w:rPr>
          <w:rFonts w:hint="eastAsia" w:ascii="宋体" w:hAnsi="宋体" w:eastAsia="宋体" w:cs="宋体"/>
          <w:b w:val="0"/>
          <w:bCs/>
          <w:color w:val="auto"/>
          <w:kern w:val="2"/>
          <w:sz w:val="22"/>
          <w:szCs w:val="22"/>
          <w:highlight w:val="none"/>
        </w:rPr>
        <w:t>设施的汽车地衡计量值的偏差值超出负百分之一（－1%），则偏差值在负百分之一（－1%）以内部分视为正常的计量误差和运输损耗，该车LNG的计量值为：</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LNG装车设施汽车地衡计量值减去偏差值大于负百分之一（－1%）部分的LNG量。</w:t>
      </w:r>
    </w:p>
    <w:p w14:paraId="1E052A6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7</w:t>
      </w:r>
      <w:r>
        <w:rPr>
          <w:rFonts w:hint="eastAsia" w:ascii="宋体" w:hAnsi="宋体" w:eastAsia="宋体" w:cs="宋体"/>
          <w:b w:val="0"/>
          <w:bCs/>
          <w:color w:val="auto"/>
          <w:kern w:val="2"/>
          <w:sz w:val="22"/>
          <w:szCs w:val="22"/>
          <w:highlight w:val="none"/>
        </w:rPr>
        <w:t>.4 如果某车LNG在</w:t>
      </w:r>
      <w:r>
        <w:rPr>
          <w:rFonts w:hint="eastAsia" w:ascii="宋体" w:hAnsi="宋体" w:eastAsia="宋体" w:cs="宋体"/>
          <w:color w:val="auto"/>
          <w:sz w:val="22"/>
          <w:szCs w:val="22"/>
          <w:lang w:val="en-US" w:eastAsia="zh-CN"/>
        </w:rPr>
        <w:t>采购人气站处现场确认过磅重量</w:t>
      </w:r>
      <w:r>
        <w:rPr>
          <w:rFonts w:hint="eastAsia" w:ascii="宋体" w:hAnsi="宋体" w:eastAsia="宋体" w:cs="宋体"/>
          <w:b w:val="0"/>
          <w:bCs/>
          <w:color w:val="auto"/>
          <w:kern w:val="2"/>
          <w:sz w:val="22"/>
          <w:szCs w:val="22"/>
          <w:highlight w:val="none"/>
        </w:rPr>
        <w:t>与</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LNG</w:t>
      </w:r>
      <w:r>
        <w:rPr>
          <w:rFonts w:hint="eastAsia" w:ascii="宋体" w:hAnsi="宋体" w:eastAsia="宋体" w:cs="宋体"/>
          <w:b w:val="0"/>
          <w:bCs/>
          <w:color w:val="auto"/>
          <w:kern w:val="2"/>
          <w:sz w:val="22"/>
          <w:szCs w:val="22"/>
          <w:highlight w:val="none"/>
          <w:lang w:val="en-US" w:eastAsia="zh-CN"/>
        </w:rPr>
        <w:t>装车</w:t>
      </w:r>
      <w:r>
        <w:rPr>
          <w:rFonts w:hint="eastAsia" w:ascii="宋体" w:hAnsi="宋体" w:eastAsia="宋体" w:cs="宋体"/>
          <w:b w:val="0"/>
          <w:bCs/>
          <w:color w:val="auto"/>
          <w:kern w:val="2"/>
          <w:sz w:val="22"/>
          <w:szCs w:val="22"/>
          <w:highlight w:val="none"/>
        </w:rPr>
        <w:t>设施的汽车地衡计量值的偏差值超出正百分之一（+1%），该车LNG的计量值为：</w:t>
      </w:r>
      <w:r>
        <w:rPr>
          <w:rFonts w:hint="eastAsia" w:ascii="宋体" w:hAnsi="宋体" w:eastAsia="宋体" w:cs="宋体"/>
          <w:b w:val="0"/>
          <w:bCs/>
          <w:color w:val="auto"/>
          <w:kern w:val="2"/>
          <w:sz w:val="22"/>
          <w:szCs w:val="22"/>
          <w:highlight w:val="none"/>
          <w:lang w:eastAsia="zh-CN"/>
        </w:rPr>
        <w:t>中标供应商</w:t>
      </w:r>
      <w:r>
        <w:rPr>
          <w:rFonts w:hint="eastAsia" w:ascii="宋体" w:hAnsi="宋体" w:eastAsia="宋体" w:cs="宋体"/>
          <w:b w:val="0"/>
          <w:bCs/>
          <w:color w:val="auto"/>
          <w:kern w:val="2"/>
          <w:sz w:val="22"/>
          <w:szCs w:val="22"/>
          <w:highlight w:val="none"/>
        </w:rPr>
        <w:t>LNG装车设施汽车地衡计量值加上偏差值大于正百分之一（+1%）部分的LNG量。</w:t>
      </w:r>
    </w:p>
    <w:p w14:paraId="1021AA1B">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7</w:t>
      </w:r>
      <w:r>
        <w:rPr>
          <w:rFonts w:hint="eastAsia" w:ascii="宋体" w:hAnsi="宋体" w:eastAsia="宋体" w:cs="宋体"/>
          <w:b w:val="0"/>
          <w:bCs/>
          <w:color w:val="auto"/>
          <w:kern w:val="2"/>
          <w:sz w:val="22"/>
          <w:szCs w:val="22"/>
          <w:highlight w:val="none"/>
        </w:rPr>
        <w:t>.5 如任一方对另一方的计量有争议，可在交接计量文件（</w:t>
      </w:r>
      <w:r>
        <w:rPr>
          <w:rFonts w:hint="eastAsia" w:ascii="宋体" w:hAnsi="宋体" w:eastAsia="宋体" w:cs="宋体"/>
          <w:b w:val="0"/>
          <w:bCs/>
          <w:color w:val="auto"/>
          <w:kern w:val="2"/>
          <w:sz w:val="22"/>
          <w:szCs w:val="22"/>
          <w:highlight w:val="none"/>
          <w:lang w:eastAsia="zh-CN"/>
        </w:rPr>
        <w:t>采购人</w:t>
      </w:r>
      <w:r>
        <w:rPr>
          <w:rFonts w:hint="eastAsia" w:ascii="宋体" w:hAnsi="宋体" w:eastAsia="宋体" w:cs="宋体"/>
          <w:b w:val="0"/>
          <w:bCs/>
          <w:color w:val="auto"/>
          <w:kern w:val="2"/>
          <w:sz w:val="22"/>
          <w:szCs w:val="22"/>
          <w:highlight w:val="none"/>
        </w:rPr>
        <w:t>的</w:t>
      </w:r>
      <w:r>
        <w:rPr>
          <w:rFonts w:hint="eastAsia" w:ascii="宋体" w:hAnsi="宋体" w:eastAsia="宋体" w:cs="宋体"/>
          <w:b w:val="0"/>
          <w:bCs/>
          <w:color w:val="auto"/>
          <w:kern w:val="2"/>
          <w:sz w:val="22"/>
          <w:szCs w:val="22"/>
          <w:highlight w:val="none"/>
          <w:lang w:eastAsia="zh-CN"/>
        </w:rPr>
        <w:t>地磅秤</w:t>
      </w:r>
      <w:r>
        <w:rPr>
          <w:rFonts w:hint="eastAsia" w:ascii="宋体" w:hAnsi="宋体" w:eastAsia="宋体" w:cs="宋体"/>
          <w:b w:val="0"/>
          <w:bCs/>
          <w:color w:val="auto"/>
          <w:kern w:val="2"/>
          <w:sz w:val="22"/>
          <w:szCs w:val="22"/>
          <w:highlight w:val="none"/>
        </w:rPr>
        <w:t xml:space="preserve">计量单）上注明争议内容，并在第一时间沟通，查找原因。在争议解决前，LNG结算总金额暂按其中最低气量的数据先行付费，待原因明晰后根据实际情况相应核算。  </w:t>
      </w:r>
    </w:p>
    <w:p w14:paraId="15091102">
      <w:pPr>
        <w:bidi w:val="0"/>
        <w:rPr>
          <w:rFonts w:hint="eastAsia" w:ascii="宋体" w:hAnsi="宋体" w:eastAsia="宋体" w:cs="宋体"/>
          <w:color w:val="auto"/>
          <w:highlight w:val="none"/>
          <w:lang w:val="zh-CN"/>
        </w:rPr>
      </w:pPr>
      <w:r>
        <w:rPr>
          <w:rFonts w:hint="eastAsia" w:ascii="宋体" w:hAnsi="宋体" w:eastAsia="宋体" w:cs="宋体"/>
          <w:color w:val="auto"/>
          <w:highlight w:val="none"/>
          <w:lang w:val="zh-CN"/>
        </w:rPr>
        <w:br w:type="page"/>
      </w:r>
    </w:p>
    <w:p w14:paraId="3F5A16E9">
      <w:pPr>
        <w:pStyle w:val="27"/>
        <w:spacing w:line="360" w:lineRule="auto"/>
        <w:ind w:left="0" w:leftChars="0" w:firstLineChars="0"/>
        <w:jc w:val="center"/>
        <w:outlineLvl w:val="0"/>
        <w:rPr>
          <w:rFonts w:hint="eastAsia" w:ascii="宋体" w:hAnsi="宋体" w:eastAsia="宋体" w:cs="宋体"/>
          <w:b/>
          <w:color w:val="auto"/>
          <w:sz w:val="36"/>
          <w:highlight w:val="none"/>
          <w:lang w:val="zh-CN"/>
        </w:rPr>
      </w:pPr>
      <w:bookmarkStart w:id="30" w:name="_Toc28018"/>
      <w:r>
        <w:rPr>
          <w:rFonts w:hint="eastAsia" w:ascii="宋体" w:hAnsi="宋体" w:eastAsia="宋体" w:cs="宋体"/>
          <w:b/>
          <w:color w:val="auto"/>
          <w:sz w:val="36"/>
          <w:highlight w:val="none"/>
          <w:lang w:val="zh-CN"/>
        </w:rPr>
        <w:t>第三部分</w:t>
      </w:r>
      <w:r>
        <w:rPr>
          <w:rFonts w:hint="eastAsia" w:ascii="宋体" w:hAnsi="宋体" w:eastAsia="宋体" w:cs="宋体"/>
          <w:b/>
          <w:color w:val="auto"/>
          <w:sz w:val="36"/>
          <w:highlight w:val="none"/>
        </w:rPr>
        <w:t xml:space="preserve"> </w:t>
      </w:r>
      <w:r>
        <w:rPr>
          <w:rFonts w:hint="eastAsia" w:ascii="宋体" w:hAnsi="宋体" w:eastAsia="宋体" w:cs="宋体"/>
          <w:b/>
          <w:color w:val="auto"/>
          <w:sz w:val="36"/>
          <w:highlight w:val="none"/>
          <w:lang w:val="zh-CN"/>
        </w:rPr>
        <w:t>供应商须知</w:t>
      </w:r>
      <w:bookmarkEnd w:id="30"/>
    </w:p>
    <w:p w14:paraId="7AF27193">
      <w:pPr>
        <w:wordWrap w:val="0"/>
        <w:autoSpaceDE w:val="0"/>
        <w:autoSpaceDN w:val="0"/>
        <w:adjustRightInd w:val="0"/>
        <w:snapToGrid w:val="0"/>
        <w:spacing w:line="360" w:lineRule="auto"/>
        <w:textAlignment w:val="bottom"/>
        <w:outlineLvl w:val="1"/>
        <w:rPr>
          <w:rFonts w:hint="eastAsia" w:ascii="宋体" w:hAnsi="宋体" w:eastAsia="宋体" w:cs="宋体"/>
          <w:color w:val="auto"/>
          <w:sz w:val="22"/>
          <w:szCs w:val="22"/>
          <w:highlight w:val="none"/>
        </w:rPr>
      </w:pPr>
      <w:bookmarkStart w:id="31" w:name="_Toc5341"/>
      <w:bookmarkStart w:id="32" w:name="_Toc23319"/>
      <w:r>
        <w:rPr>
          <w:rFonts w:hint="eastAsia" w:ascii="宋体" w:hAnsi="宋体" w:eastAsia="宋体" w:cs="宋体"/>
          <w:color w:val="auto"/>
          <w:sz w:val="22"/>
          <w:szCs w:val="22"/>
          <w:highlight w:val="none"/>
        </w:rPr>
        <w:t>一、说明</w:t>
      </w:r>
      <w:bookmarkEnd w:id="31"/>
      <w:bookmarkEnd w:id="32"/>
    </w:p>
    <w:p w14:paraId="019C6BA2">
      <w:pPr>
        <w:widowControl/>
        <w:wordWrap w:val="0"/>
        <w:snapToGrid w:val="0"/>
        <w:spacing w:line="360" w:lineRule="auto"/>
        <w:ind w:firstLine="431" w:firstLineChars="196"/>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1、无论投标过程中的作法和结果如何，供应商自行承担投标活动中所发生的全部费用。</w:t>
      </w:r>
    </w:p>
    <w:p w14:paraId="6D9A2537">
      <w:pPr>
        <w:wordWrap w:val="0"/>
        <w:autoSpaceDE w:val="0"/>
        <w:autoSpaceDN w:val="0"/>
        <w:adjustRightInd w:val="0"/>
        <w:snapToGrid w:val="0"/>
        <w:spacing w:line="360" w:lineRule="auto"/>
        <w:ind w:firstLine="431" w:firstLineChars="196"/>
        <w:jc w:val="left"/>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w:t>
      </w:r>
      <w:r>
        <w:rPr>
          <w:rFonts w:hint="eastAsia" w:ascii="宋体" w:hAnsi="宋体" w:eastAsia="宋体" w:cs="宋体"/>
          <w:b/>
          <w:color w:val="auto"/>
          <w:sz w:val="22"/>
          <w:szCs w:val="22"/>
          <w:highlight w:val="none"/>
          <w:u w:val="single"/>
        </w:rPr>
        <w:t>供应商必须投全部标的物，否则按无效投标处理。</w:t>
      </w:r>
    </w:p>
    <w:p w14:paraId="3667E883">
      <w:pPr>
        <w:wordWrap w:val="0"/>
        <w:autoSpaceDE w:val="0"/>
        <w:autoSpaceDN w:val="0"/>
        <w:adjustRightInd w:val="0"/>
        <w:snapToGrid w:val="0"/>
        <w:spacing w:line="360" w:lineRule="auto"/>
        <w:ind w:firstLine="446" w:firstLineChars="203"/>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w:t>
      </w:r>
      <w:r>
        <w:rPr>
          <w:rFonts w:hint="eastAsia" w:ascii="宋体" w:hAnsi="宋体" w:eastAsia="宋体" w:cs="宋体"/>
          <w:color w:val="auto"/>
          <w:sz w:val="22"/>
          <w:highlight w:val="none"/>
        </w:rPr>
        <w:t>本次采购报价文件与商务技术文件分别评审，评标委员会首先评审供应商商务技术文件，商务技术文件无效的供应商不进入报价评审。要求供应商商务技术部分的投标文件（含资信与服务）中不得含产品报价，否则做无效投标处理。</w:t>
      </w:r>
    </w:p>
    <w:p w14:paraId="083042A9">
      <w:pPr>
        <w:wordWrap w:val="0"/>
        <w:autoSpaceDE w:val="0"/>
        <w:autoSpaceDN w:val="0"/>
        <w:adjustRightInd w:val="0"/>
        <w:snapToGrid w:val="0"/>
        <w:spacing w:line="360" w:lineRule="auto"/>
        <w:ind w:firstLine="420" w:firstLineChars="190"/>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w:t>
      </w:r>
      <w:r>
        <w:rPr>
          <w:rFonts w:hint="eastAsia" w:ascii="宋体" w:hAnsi="宋体" w:eastAsia="宋体" w:cs="宋体"/>
          <w:b/>
          <w:color w:val="auto"/>
          <w:sz w:val="22"/>
          <w:szCs w:val="22"/>
          <w:highlight w:val="none"/>
          <w:u w:val="single"/>
        </w:rPr>
        <w:t>本项目总价报价</w:t>
      </w:r>
      <w:r>
        <w:rPr>
          <w:rFonts w:hint="eastAsia" w:ascii="宋体" w:hAnsi="宋体" w:eastAsia="宋体" w:cs="宋体"/>
          <w:b/>
          <w:color w:val="auto"/>
          <w:sz w:val="22"/>
          <w:szCs w:val="22"/>
          <w:highlight w:val="none"/>
        </w:rPr>
        <w:t>。供应商须自行现场勘察，以求得准确的报价依据。供应商须自行考虑投标报价的风险。</w:t>
      </w:r>
    </w:p>
    <w:p w14:paraId="43656779">
      <w:pPr>
        <w:pStyle w:val="6"/>
        <w:wordWrap w:val="0"/>
        <w:adjustRightInd w:val="0"/>
        <w:snapToGrid w:val="0"/>
        <w:spacing w:line="360" w:lineRule="auto"/>
        <w:ind w:firstLine="442"/>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w:t>
      </w:r>
      <w:r>
        <w:rPr>
          <w:rFonts w:hint="eastAsia" w:ascii="宋体" w:hAnsi="宋体" w:eastAsia="宋体" w:cs="宋体"/>
          <w:b/>
          <w:color w:val="auto"/>
          <w:sz w:val="22"/>
          <w:szCs w:val="22"/>
          <w:highlight w:val="none"/>
          <w:lang w:val="zh-CN"/>
        </w:rPr>
        <w:t>、</w:t>
      </w:r>
      <w:r>
        <w:rPr>
          <w:rFonts w:hint="eastAsia" w:ascii="宋体" w:hAnsi="宋体" w:eastAsia="宋体" w:cs="宋体"/>
          <w:b/>
          <w:color w:val="auto"/>
          <w:sz w:val="22"/>
          <w:szCs w:val="22"/>
          <w:highlight w:val="none"/>
          <w:u w:val="single"/>
        </w:rPr>
        <w:t>供应商企业不是独立法人的，按浙财采监[2013]24号文件执行。</w:t>
      </w:r>
    </w:p>
    <w:p w14:paraId="4CB722C5">
      <w:pPr>
        <w:wordWrap w:val="0"/>
        <w:snapToGrid w:val="0"/>
        <w:spacing w:line="360" w:lineRule="auto"/>
        <w:ind w:firstLine="420" w:firstLineChars="190"/>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单位负责人为同一人或者存在直接控股、管理关系的不同供应商，不得参加同一合同项下的采购活动。如在评标过程中发现供应商间存在上述关系，评标委员会可以对存在上述关系的供应商做无效投标处理。</w:t>
      </w:r>
    </w:p>
    <w:p w14:paraId="26E8B8FA">
      <w:pPr>
        <w:pStyle w:val="6"/>
        <w:wordWrap w:val="0"/>
        <w:adjustRightInd w:val="0"/>
        <w:snapToGrid w:val="0"/>
        <w:spacing w:line="360" w:lineRule="auto"/>
        <w:ind w:firstLine="442"/>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▲6、本次采购</w:t>
      </w:r>
      <w:r>
        <w:rPr>
          <w:rFonts w:hint="eastAsia" w:ascii="宋体" w:hAnsi="宋体" w:cs="宋体"/>
          <w:b/>
          <w:color w:val="auto"/>
          <w:sz w:val="22"/>
          <w:szCs w:val="22"/>
          <w:highlight w:val="none"/>
          <w:u w:val="single"/>
          <w:lang w:val="en-US" w:eastAsia="zh-CN"/>
        </w:rPr>
        <w:t>最高限价折扣率100%</w:t>
      </w:r>
      <w:r>
        <w:rPr>
          <w:rFonts w:hint="eastAsia" w:ascii="宋体" w:hAnsi="宋体" w:eastAsia="宋体" w:cs="宋体"/>
          <w:b/>
          <w:color w:val="auto"/>
          <w:sz w:val="22"/>
          <w:szCs w:val="22"/>
          <w:highlight w:val="none"/>
        </w:rPr>
        <w:t>；如果仅仅某个（些）供应商的报价超出采购最高限价的，则拒绝接受其报价，按无效报价处理。</w:t>
      </w:r>
    </w:p>
    <w:p w14:paraId="5F9749EC">
      <w:pPr>
        <w:widowControl/>
        <w:wordWrap w:val="0"/>
        <w:snapToGrid w:val="0"/>
        <w:spacing w:line="360" w:lineRule="auto"/>
        <w:ind w:firstLine="420" w:firstLineChars="190"/>
        <w:jc w:val="left"/>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rPr>
        <w:t>7、本次招标采用资格后审，供应商只需在网上下载采购文件，不接受现场报名。</w:t>
      </w:r>
    </w:p>
    <w:p w14:paraId="4CA4C217">
      <w:pPr>
        <w:pStyle w:val="60"/>
        <w:wordWrap w:val="0"/>
        <w:spacing w:after="0" w:line="360" w:lineRule="auto"/>
        <w:ind w:left="0" w:leftChars="0" w:firstLine="442"/>
        <w:rPr>
          <w:rFonts w:hint="eastAsia" w:ascii="宋体" w:hAnsi="宋体" w:eastAsia="宋体" w:cs="宋体"/>
          <w:b/>
          <w:color w:val="auto"/>
          <w:sz w:val="22"/>
          <w:szCs w:val="22"/>
          <w:highlight w:val="none"/>
          <w:u w:val="single"/>
          <w:lang w:val="zh-CN"/>
        </w:rPr>
      </w:pPr>
      <w:r>
        <w:rPr>
          <w:rFonts w:hint="eastAsia" w:ascii="宋体" w:hAnsi="宋体" w:eastAsia="宋体" w:cs="宋体"/>
          <w:b/>
          <w:color w:val="auto"/>
          <w:sz w:val="22"/>
          <w:szCs w:val="22"/>
          <w:highlight w:val="none"/>
          <w:u w:val="single"/>
        </w:rPr>
        <w:t>8</w:t>
      </w:r>
      <w:r>
        <w:rPr>
          <w:rFonts w:hint="eastAsia" w:ascii="宋体" w:hAnsi="宋体" w:eastAsia="宋体" w:cs="宋体"/>
          <w:b/>
          <w:color w:val="auto"/>
          <w:sz w:val="22"/>
          <w:szCs w:val="22"/>
          <w:highlight w:val="none"/>
          <w:u w:val="single"/>
          <w:lang w:val="zh-CN"/>
        </w:rPr>
        <w:t>、本次采购文件中，带有“▲”标注的有关技术和商务条款要求供应商做实质性响应，供应商要特别加以注意，必须对此回答并完全满足这些要求。否则若有一项“▲”的指标未响应或不满足，将按投标无效处理。</w:t>
      </w:r>
    </w:p>
    <w:p w14:paraId="15EC4BC4">
      <w:pPr>
        <w:widowControl/>
        <w:wordWrap w:val="0"/>
        <w:snapToGrid w:val="0"/>
        <w:spacing w:line="360" w:lineRule="auto"/>
        <w:ind w:firstLine="420" w:firstLineChars="190"/>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9</w:t>
      </w:r>
      <w:r>
        <w:rPr>
          <w:rFonts w:hint="eastAsia" w:ascii="宋体" w:hAnsi="宋体" w:eastAsia="宋体" w:cs="宋体"/>
          <w:b/>
          <w:color w:val="auto"/>
          <w:sz w:val="22"/>
          <w:szCs w:val="22"/>
          <w:highlight w:val="none"/>
          <w:lang w:val="zh-CN"/>
        </w:rPr>
        <w:t>、投标供应商信用信息查询渠道及截止时点、信用信息查询记录和证据留存的具体方式、信用信息的使用规则等：</w:t>
      </w:r>
    </w:p>
    <w:p w14:paraId="1779E475">
      <w:pPr>
        <w:widowControl/>
        <w:wordWrap w:val="0"/>
        <w:snapToGrid w:val="0"/>
        <w:spacing w:line="360" w:lineRule="auto"/>
        <w:ind w:firstLine="440" w:firstLineChars="200"/>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w:t>
      </w:r>
      <w:r>
        <w:rPr>
          <w:rFonts w:hint="eastAsia" w:ascii="宋体" w:hAnsi="宋体" w:eastAsia="宋体" w:cs="宋体"/>
          <w:color w:val="auto"/>
          <w:sz w:val="22"/>
          <w:szCs w:val="22"/>
          <w:highlight w:val="none"/>
          <w:lang w:val="zh-CN"/>
        </w:rPr>
        <w:t>投标供应商信用信息查询的查询渠道</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信用中国</w:t>
      </w:r>
      <w:r>
        <w:rPr>
          <w:rFonts w:hint="eastAsia" w:ascii="宋体" w:hAnsi="宋体" w:eastAsia="宋体" w:cs="宋体"/>
          <w:color w:val="auto"/>
          <w:sz w:val="22"/>
          <w:szCs w:val="22"/>
          <w:highlight w:val="none"/>
        </w:rPr>
        <w:t>”(</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"file:///D:\\平阳2019年\\平阳县卫生健康局平阳县基层医疗卫生机构财政补偿机制改革绩效考核信息系统\\www.creditchina.gov.cn"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2"/>
          <w:szCs w:val="22"/>
          <w:highlight w:val="none"/>
        </w:rPr>
        <w:t>www.creditchina.gov.cn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zh-CN"/>
        </w:rPr>
        <w:t>中国政府采购网</w:t>
      </w:r>
      <w:r>
        <w:rPr>
          <w:rFonts w:hint="eastAsia" w:ascii="宋体" w:hAnsi="宋体" w:eastAsia="宋体" w:cs="宋体"/>
          <w:color w:val="auto"/>
          <w:highlight w:val="none"/>
        </w:rPr>
        <w:fldChar w:fldCharType="begin"/>
      </w:r>
      <w:r>
        <w:rPr>
          <w:rFonts w:hint="eastAsia" w:ascii="宋体" w:hAnsi="宋体" w:eastAsia="宋体" w:cs="宋体"/>
          <w:color w:val="auto"/>
          <w:highlight w:val="none"/>
        </w:rPr>
        <w:instrText xml:space="preserve"> HYPERLINK "http://www.ccgp.gov.cn/" </w:instrText>
      </w:r>
      <w:r>
        <w:rPr>
          <w:rFonts w:hint="eastAsia" w:ascii="宋体" w:hAnsi="宋体" w:eastAsia="宋体" w:cs="宋体"/>
          <w:color w:val="auto"/>
          <w:highlight w:val="none"/>
        </w:rPr>
        <w:fldChar w:fldCharType="separate"/>
      </w:r>
      <w:r>
        <w:rPr>
          <w:rFonts w:hint="eastAsia" w:ascii="宋体" w:hAnsi="宋体" w:eastAsia="宋体" w:cs="宋体"/>
          <w:color w:val="auto"/>
          <w:sz w:val="22"/>
          <w:szCs w:val="22"/>
          <w:highlight w:val="none"/>
        </w:rPr>
        <w:t>http://www.ccgp.gov.cn/</w:t>
      </w:r>
      <w:r>
        <w:rPr>
          <w:rFonts w:hint="eastAsia" w:ascii="宋体" w:hAnsi="宋体" w:eastAsia="宋体" w:cs="宋体"/>
          <w:color w:val="auto"/>
          <w:sz w:val="22"/>
          <w:szCs w:val="22"/>
          <w:highlight w:val="none"/>
        </w:rPr>
        <w:fldChar w:fldCharType="end"/>
      </w:r>
      <w:r>
        <w:rPr>
          <w:rFonts w:hint="eastAsia" w:ascii="宋体" w:hAnsi="宋体" w:eastAsia="宋体" w:cs="宋体"/>
          <w:color w:val="auto"/>
          <w:sz w:val="22"/>
          <w:szCs w:val="22"/>
          <w:highlight w:val="none"/>
        </w:rPr>
        <w:t xml:space="preserve">）； </w:t>
      </w:r>
    </w:p>
    <w:p w14:paraId="2AF34C02">
      <w:pPr>
        <w:widowControl/>
        <w:wordWrap w:val="0"/>
        <w:snapToGrid w:val="0"/>
        <w:spacing w:line="360" w:lineRule="auto"/>
        <w:ind w:firstLine="440" w:firstLineChars="20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2）投标供应商信用信息查询截止时点：本项目投标截止时间</w:t>
      </w:r>
      <w:r>
        <w:rPr>
          <w:rFonts w:hint="eastAsia" w:ascii="宋体" w:hAnsi="宋体" w:eastAsia="宋体" w:cs="宋体"/>
          <w:color w:val="auto"/>
          <w:sz w:val="22"/>
          <w:szCs w:val="22"/>
          <w:highlight w:val="none"/>
        </w:rPr>
        <w:t>之前</w:t>
      </w:r>
      <w:r>
        <w:rPr>
          <w:rFonts w:hint="eastAsia" w:ascii="宋体" w:hAnsi="宋体" w:eastAsia="宋体" w:cs="宋体"/>
          <w:color w:val="auto"/>
          <w:sz w:val="22"/>
          <w:szCs w:val="22"/>
          <w:highlight w:val="none"/>
          <w:lang w:val="zh-CN"/>
        </w:rPr>
        <w:t xml:space="preserve">； </w:t>
      </w:r>
    </w:p>
    <w:p w14:paraId="08D1851E">
      <w:pPr>
        <w:widowControl/>
        <w:wordWrap w:val="0"/>
        <w:snapToGrid w:val="0"/>
        <w:spacing w:line="360" w:lineRule="auto"/>
        <w:ind w:firstLine="440" w:firstLineChars="200"/>
        <w:jc w:val="left"/>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3）投标供应商信用信息查询记录和证据留存的具体方式：网页截图打印；</w:t>
      </w:r>
    </w:p>
    <w:p w14:paraId="2E63EA7A">
      <w:pPr>
        <w:widowControl/>
        <w:wordWrap w:val="0"/>
        <w:snapToGrid w:val="0"/>
        <w:spacing w:line="360" w:lineRule="auto"/>
        <w:ind w:firstLine="440" w:firstLineChars="200"/>
        <w:jc w:val="left"/>
        <w:rPr>
          <w:rFonts w:hint="eastAsia" w:ascii="宋体" w:hAnsi="宋体" w:eastAsia="宋体" w:cs="宋体"/>
          <w:b/>
          <w:color w:val="auto"/>
          <w:sz w:val="22"/>
          <w:szCs w:val="22"/>
          <w:highlight w:val="none"/>
          <w:lang w:val="zh-CN"/>
        </w:rPr>
      </w:pPr>
      <w:r>
        <w:rPr>
          <w:rFonts w:hint="eastAsia" w:ascii="宋体" w:hAnsi="宋体" w:eastAsia="宋体" w:cs="宋体"/>
          <w:color w:val="auto"/>
          <w:sz w:val="22"/>
          <w:szCs w:val="22"/>
          <w:highlight w:val="none"/>
        </w:rPr>
        <w:t>4）</w:t>
      </w:r>
      <w:r>
        <w:rPr>
          <w:rFonts w:hint="eastAsia" w:ascii="宋体" w:hAnsi="宋体" w:eastAsia="宋体" w:cs="宋体"/>
          <w:color w:val="auto"/>
          <w:sz w:val="22"/>
          <w:szCs w:val="22"/>
          <w:highlight w:val="none"/>
          <w:lang w:val="zh-CN"/>
        </w:rPr>
        <w:t>信用信息的使用规则：截止评标当日，经查询“信用中国”“中国政府采购网”存在列入失信被执行人、重大税收违法案件当事人名单、政府采购严重违法失信行为记录名单及其他不符合《平阳县县属国有企业采购管理办法（试行）》第十四条规定条件的供应商，其投标做无效投标处理。</w:t>
      </w:r>
    </w:p>
    <w:p w14:paraId="53CA04EE">
      <w:pPr>
        <w:wordWrap w:val="0"/>
        <w:autoSpaceDE w:val="0"/>
        <w:autoSpaceDN w:val="0"/>
        <w:adjustRightInd w:val="0"/>
        <w:snapToGrid w:val="0"/>
        <w:spacing w:line="360" w:lineRule="auto"/>
        <w:ind w:firstLine="433" w:firstLineChars="196"/>
        <w:textAlignment w:val="bottom"/>
        <w:rPr>
          <w:rFonts w:hint="eastAsia" w:ascii="宋体" w:hAnsi="宋体" w:eastAsia="宋体" w:cs="宋体"/>
          <w:b/>
          <w:color w:val="auto"/>
          <w:sz w:val="22"/>
          <w:highlight w:val="none"/>
          <w:u w:val="single"/>
        </w:rPr>
      </w:pPr>
      <w:r>
        <w:rPr>
          <w:rFonts w:hint="eastAsia" w:ascii="宋体" w:hAnsi="宋体" w:eastAsia="宋体" w:cs="宋体"/>
          <w:b/>
          <w:color w:val="auto"/>
          <w:sz w:val="22"/>
          <w:szCs w:val="22"/>
          <w:highlight w:val="none"/>
        </w:rPr>
        <w:t>10、</w:t>
      </w:r>
      <w:r>
        <w:rPr>
          <w:rFonts w:hint="eastAsia" w:ascii="宋体" w:hAnsi="宋体" w:eastAsia="宋体" w:cs="宋体"/>
          <w:b/>
          <w:color w:val="auto"/>
          <w:sz w:val="22"/>
          <w:highlight w:val="none"/>
          <w:u w:val="single"/>
        </w:rPr>
        <w:t>供应商进行电子投标应安装客户端软件，并按照采购文件和电子交易平台的要求编制并加密投标文件。供应商未按规定加密的投标文件，电子交易平台拒收并提示。</w:t>
      </w:r>
    </w:p>
    <w:p w14:paraId="5BD1523E">
      <w:pPr>
        <w:wordWrap w:val="0"/>
        <w:autoSpaceDE w:val="0"/>
        <w:autoSpaceDN w:val="0"/>
        <w:adjustRightInd w:val="0"/>
        <w:snapToGrid w:val="0"/>
        <w:spacing w:line="360" w:lineRule="auto"/>
        <w:ind w:firstLine="422" w:firstLineChars="191"/>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11、</w:t>
      </w:r>
      <w:r>
        <w:rPr>
          <w:rFonts w:hint="eastAsia" w:ascii="宋体" w:hAnsi="宋体" w:eastAsia="宋体" w:cs="宋体"/>
          <w:color w:val="auto"/>
          <w:sz w:val="22"/>
          <w:szCs w:val="22"/>
          <w:highlight w:val="none"/>
        </w:rPr>
        <w:t>本次采购的产品如属于政府强制采购节能产品范围的，投标供应商必须选用符合要求的产品并在投标文件中提供相关产品的认证证书扫描件或电子证书，否则按无效投标处理，具体品目见《关于印发节能产品政府采购品目清单的通知》（财库〔2019〕19号）。</w:t>
      </w:r>
    </w:p>
    <w:p w14:paraId="79FB7084">
      <w:pPr>
        <w:wordWrap w:val="0"/>
        <w:autoSpaceDE w:val="0"/>
        <w:autoSpaceDN w:val="0"/>
        <w:adjustRightInd w:val="0"/>
        <w:snapToGrid w:val="0"/>
        <w:spacing w:line="360" w:lineRule="auto"/>
        <w:ind w:firstLine="422" w:firstLineChars="191"/>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12、</w:t>
      </w:r>
      <w:r>
        <w:rPr>
          <w:rFonts w:hint="eastAsia" w:ascii="宋体" w:hAnsi="宋体" w:eastAsia="宋体" w:cs="宋体"/>
          <w:color w:val="auto"/>
          <w:sz w:val="22"/>
          <w:szCs w:val="22"/>
          <w:highlight w:val="none"/>
        </w:rPr>
        <w:t>本项目采用在线投标响应方式，执行《浙江省财政厅关于印发浙江省政府采购项目电子交易管理暂行办法的通知》（浙财采监〔2019〕10 号）等相关规定</w:t>
      </w:r>
      <w:r>
        <w:rPr>
          <w:rFonts w:hint="eastAsia" w:ascii="宋体" w:hAnsi="宋体" w:eastAsia="宋体" w:cs="宋体"/>
          <w:b/>
          <w:color w:val="auto"/>
          <w:sz w:val="22"/>
          <w:szCs w:val="22"/>
          <w:highlight w:val="none"/>
        </w:rPr>
        <w:t>。</w:t>
      </w:r>
    </w:p>
    <w:p w14:paraId="0E705735">
      <w:pPr>
        <w:wordWrap w:val="0"/>
        <w:autoSpaceDE w:val="0"/>
        <w:autoSpaceDN w:val="0"/>
        <w:adjustRightInd w:val="0"/>
        <w:snapToGrid w:val="0"/>
        <w:spacing w:line="360" w:lineRule="auto"/>
        <w:ind w:firstLine="422" w:firstLineChars="191"/>
        <w:textAlignment w:val="bottom"/>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13、本项目在线开评标进行时，供应商授权代表需自行关注平台提示信息，期间如有发出“询标/澄清函”等相关线上函件时，因供应商自身原因逾期/错过回复时间，由此造成的后果由供应商自行承担。</w:t>
      </w:r>
    </w:p>
    <w:p w14:paraId="21DEE621">
      <w:pPr>
        <w:wordWrap w:val="0"/>
        <w:autoSpaceDE w:val="0"/>
        <w:autoSpaceDN w:val="0"/>
        <w:adjustRightInd w:val="0"/>
        <w:snapToGrid w:val="0"/>
        <w:spacing w:line="360" w:lineRule="auto"/>
        <w:ind w:firstLine="433" w:firstLineChars="196"/>
        <w:textAlignment w:val="bottom"/>
        <w:rPr>
          <w:rFonts w:hint="eastAsia" w:ascii="宋体" w:hAnsi="宋体" w:eastAsia="宋体" w:cs="宋体"/>
          <w:b/>
          <w:color w:val="auto"/>
          <w:sz w:val="22"/>
          <w:szCs w:val="22"/>
          <w:highlight w:val="none"/>
          <w:u w:val="single"/>
        </w:rPr>
      </w:pPr>
      <w:r>
        <w:rPr>
          <w:rFonts w:hint="eastAsia" w:ascii="宋体" w:hAnsi="宋体" w:eastAsia="宋体" w:cs="宋体"/>
          <w:b/>
          <w:color w:val="auto"/>
          <w:sz w:val="22"/>
          <w:szCs w:val="22"/>
          <w:highlight w:val="none"/>
          <w:u w:val="single"/>
        </w:rPr>
        <w:t>14、为保证供应商顺利投标，供应商须在投标截止日前自行登录浙江省政府采购网，查看是否有补充更正公告文件。如供应商未按补充更正公告文件进行投标的，责任自负。</w:t>
      </w:r>
    </w:p>
    <w:p w14:paraId="65F35392">
      <w:pPr>
        <w:widowControl/>
        <w:autoSpaceDE w:val="0"/>
        <w:autoSpaceDN w:val="0"/>
        <w:snapToGrid w:val="0"/>
        <w:spacing w:line="360" w:lineRule="auto"/>
        <w:ind w:firstLine="433"/>
        <w:jc w:val="left"/>
        <w:rPr>
          <w:rFonts w:hint="eastAsia" w:ascii="宋体" w:hAnsi="宋体" w:eastAsia="宋体" w:cs="宋体"/>
          <w:b/>
          <w:color w:val="auto"/>
          <w:sz w:val="22"/>
          <w:highlight w:val="none"/>
          <w:u w:val="single"/>
        </w:rPr>
      </w:pPr>
      <w:r>
        <w:rPr>
          <w:rFonts w:hint="eastAsia" w:ascii="宋体" w:hAnsi="宋体" w:eastAsia="宋体" w:cs="宋体"/>
          <w:b/>
          <w:color w:val="auto"/>
          <w:sz w:val="22"/>
          <w:highlight w:val="none"/>
          <w:u w:val="single"/>
          <w:lang w:val="en-US" w:eastAsia="zh-CN"/>
        </w:rPr>
        <w:t>15</w:t>
      </w:r>
      <w:r>
        <w:rPr>
          <w:rFonts w:hint="eastAsia" w:ascii="宋体" w:hAnsi="宋体" w:eastAsia="宋体" w:cs="宋体"/>
          <w:b/>
          <w:color w:val="auto"/>
          <w:sz w:val="22"/>
          <w:highlight w:val="none"/>
          <w:u w:val="single"/>
        </w:rPr>
        <w:t>、使用综合评分法的采购项目，提供相同品牌同型号产品且通过资格审查、符合性审查的不同供应商参加同一合同项下投标的，按一家供应商计算，评审后得分最高的同品牌同型号供应商获得中标人推荐资格；评审得分相同的，采取随机抽取方式确定，其他同品牌供应商不作为中标候选人。</w:t>
      </w:r>
    </w:p>
    <w:p w14:paraId="13C9F363">
      <w:pPr>
        <w:widowControl/>
        <w:autoSpaceDE w:val="0"/>
        <w:autoSpaceDN w:val="0"/>
        <w:snapToGrid w:val="0"/>
        <w:spacing w:line="360" w:lineRule="auto"/>
        <w:ind w:firstLine="433"/>
        <w:jc w:val="left"/>
        <w:rPr>
          <w:rFonts w:hint="eastAsia" w:ascii="宋体" w:hAnsi="宋体" w:eastAsia="宋体" w:cs="宋体"/>
          <w:b/>
          <w:color w:val="auto"/>
          <w:sz w:val="22"/>
          <w:highlight w:val="none"/>
        </w:rPr>
      </w:pPr>
      <w:r>
        <w:rPr>
          <w:rFonts w:hint="eastAsia" w:ascii="宋体" w:hAnsi="宋体" w:eastAsia="宋体" w:cs="宋体"/>
          <w:b/>
          <w:color w:val="auto"/>
          <w:sz w:val="22"/>
          <w:highlight w:val="none"/>
          <w:u w:val="single"/>
        </w:rPr>
        <w:t>非单一产品采购项目，单项产品投标价格比重占总投标价50%及以上的认定为核心产品（有效投标供应商中一家供应商该项投标价格占总投标价50%及以上即认定），多家供应商提供的核心产品品牌相同的，按前款规定处理。</w:t>
      </w:r>
    </w:p>
    <w:p w14:paraId="0DFE1D54">
      <w:pPr>
        <w:pStyle w:val="6"/>
        <w:rPr>
          <w:rFonts w:hint="eastAsia"/>
          <w:color w:val="auto"/>
        </w:rPr>
      </w:pPr>
    </w:p>
    <w:p w14:paraId="32D98FDE">
      <w:pPr>
        <w:wordWrap w:val="0"/>
        <w:autoSpaceDE w:val="0"/>
        <w:autoSpaceDN w:val="0"/>
        <w:adjustRightInd w:val="0"/>
        <w:snapToGrid w:val="0"/>
        <w:spacing w:line="360" w:lineRule="auto"/>
        <w:textAlignment w:val="bottom"/>
        <w:outlineLvl w:val="1"/>
        <w:rPr>
          <w:rFonts w:hint="eastAsia" w:ascii="宋体" w:hAnsi="宋体" w:eastAsia="宋体" w:cs="宋体"/>
          <w:color w:val="auto"/>
          <w:sz w:val="22"/>
          <w:szCs w:val="22"/>
          <w:highlight w:val="none"/>
        </w:rPr>
      </w:pPr>
      <w:bookmarkStart w:id="33" w:name="_Toc31669"/>
      <w:bookmarkStart w:id="34" w:name="_Toc10717"/>
      <w:r>
        <w:rPr>
          <w:rFonts w:hint="eastAsia" w:ascii="宋体" w:hAnsi="宋体" w:eastAsia="宋体" w:cs="宋体"/>
          <w:color w:val="auto"/>
          <w:sz w:val="22"/>
          <w:szCs w:val="22"/>
          <w:highlight w:val="none"/>
        </w:rPr>
        <w:t>二、供应商资格要求</w:t>
      </w:r>
      <w:bookmarkEnd w:id="33"/>
      <w:bookmarkEnd w:id="34"/>
    </w:p>
    <w:p w14:paraId="6FD7184B">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按招标公告要求</w:t>
      </w:r>
    </w:p>
    <w:p w14:paraId="44BE3D7E">
      <w:pPr>
        <w:wordWrap w:val="0"/>
        <w:autoSpaceDE w:val="0"/>
        <w:autoSpaceDN w:val="0"/>
        <w:adjustRightInd w:val="0"/>
        <w:snapToGrid w:val="0"/>
        <w:spacing w:line="360" w:lineRule="auto"/>
        <w:textAlignment w:val="bottom"/>
        <w:outlineLvl w:val="1"/>
        <w:rPr>
          <w:rFonts w:hint="eastAsia" w:ascii="宋体" w:hAnsi="宋体" w:eastAsia="宋体" w:cs="宋体"/>
          <w:color w:val="auto"/>
          <w:sz w:val="22"/>
          <w:szCs w:val="22"/>
          <w:highlight w:val="none"/>
        </w:rPr>
      </w:pPr>
      <w:bookmarkStart w:id="35" w:name="_Toc20117"/>
      <w:bookmarkStart w:id="36" w:name="_Toc2525"/>
      <w:r>
        <w:rPr>
          <w:rFonts w:hint="eastAsia" w:ascii="宋体" w:hAnsi="宋体" w:eastAsia="宋体" w:cs="宋体"/>
          <w:color w:val="auto"/>
          <w:sz w:val="22"/>
          <w:szCs w:val="22"/>
          <w:highlight w:val="none"/>
        </w:rPr>
        <w:t>三、采购文件</w:t>
      </w:r>
      <w:bookmarkEnd w:id="35"/>
      <w:bookmarkEnd w:id="36"/>
    </w:p>
    <w:p w14:paraId="158BBC9C">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1、采购文件</w:t>
      </w:r>
    </w:p>
    <w:p w14:paraId="3EA6ACB6">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1.1采购文件的获取</w:t>
      </w:r>
    </w:p>
    <w:p w14:paraId="3B5B3241">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供应商在浙江省政府采购网站直接下载本项目采购文件。</w:t>
      </w:r>
    </w:p>
    <w:p w14:paraId="51EE3F11">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1.2采购文件约束力</w:t>
      </w:r>
    </w:p>
    <w:p w14:paraId="6A3C295B">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供应商一旦获取了本采购文件并参加投标，即被认为接受了本采购文件中所有条款和规定。</w:t>
      </w:r>
    </w:p>
    <w:p w14:paraId="33A82C30">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1.3采购文件的组成</w:t>
      </w:r>
    </w:p>
    <w:p w14:paraId="36CAFC43">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采购文件由采购文件总目录所列内容及补充资料等组成。</w:t>
      </w:r>
    </w:p>
    <w:p w14:paraId="1808AC86">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2、采购文件的澄清</w:t>
      </w:r>
    </w:p>
    <w:p w14:paraId="6EFED9A1">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供应商对采购文件如有疑点要求澄清，可用书面形式（包括信函、传真，下同）通知</w:t>
      </w:r>
      <w:r>
        <w:rPr>
          <w:rFonts w:hint="eastAsia" w:ascii="宋体" w:hAnsi="宋体" w:eastAsia="宋体" w:cs="宋体"/>
          <w:color w:val="auto"/>
          <w:sz w:val="22"/>
          <w:szCs w:val="22"/>
          <w:highlight w:val="none"/>
          <w:u w:val="single"/>
        </w:rPr>
        <w:t>采购代理机构</w:t>
      </w:r>
      <w:r>
        <w:rPr>
          <w:rFonts w:hint="eastAsia" w:ascii="宋体" w:hAnsi="宋体" w:eastAsia="宋体" w:cs="宋体"/>
          <w:color w:val="auto"/>
          <w:sz w:val="22"/>
          <w:szCs w:val="22"/>
          <w:highlight w:val="none"/>
        </w:rPr>
        <w:t>，但通知不得迟于规定的质疑时间前使采购代理机构收到，采购代理机构将采用用网上答疑形式予以答复。</w:t>
      </w:r>
    </w:p>
    <w:p w14:paraId="162815BB">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3、采购文件的修改</w:t>
      </w:r>
    </w:p>
    <w:p w14:paraId="3AA6222B">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 在投标截止时间前，采购人有权修改采购文件，并在网上发布更正公告。补充文件作为采购文件的补充和组成部分，对所有供应商均有约束力。</w:t>
      </w:r>
    </w:p>
    <w:p w14:paraId="5B101650">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 为使供应商有足够的时间按采购文件要求修正投标文件，采购人可进行推迟投标截止时间和开标时间，并将此变更网上告知。</w:t>
      </w:r>
    </w:p>
    <w:p w14:paraId="035CFB72">
      <w:pPr>
        <w:wordWrap w:val="0"/>
        <w:autoSpaceDE w:val="0"/>
        <w:autoSpaceDN w:val="0"/>
        <w:adjustRightInd w:val="0"/>
        <w:snapToGrid w:val="0"/>
        <w:spacing w:line="360" w:lineRule="auto"/>
        <w:textAlignment w:val="bottom"/>
        <w:outlineLvl w:val="1"/>
        <w:rPr>
          <w:rFonts w:hint="eastAsia" w:ascii="宋体" w:hAnsi="宋体" w:eastAsia="宋体" w:cs="宋体"/>
          <w:color w:val="auto"/>
          <w:sz w:val="22"/>
          <w:szCs w:val="22"/>
          <w:highlight w:val="none"/>
        </w:rPr>
      </w:pPr>
      <w:bookmarkStart w:id="37" w:name="_Toc9131"/>
      <w:bookmarkStart w:id="38" w:name="_Toc18385"/>
      <w:r>
        <w:rPr>
          <w:rFonts w:hint="eastAsia" w:ascii="宋体" w:hAnsi="宋体" w:eastAsia="宋体" w:cs="宋体"/>
          <w:color w:val="auto"/>
          <w:sz w:val="22"/>
          <w:szCs w:val="22"/>
          <w:highlight w:val="none"/>
        </w:rPr>
        <w:t>四、投标文件</w:t>
      </w:r>
      <w:bookmarkEnd w:id="37"/>
      <w:bookmarkEnd w:id="38"/>
    </w:p>
    <w:p w14:paraId="1281335E">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w:t>
      </w:r>
    </w:p>
    <w:p w14:paraId="11A33364">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1.1</w:t>
      </w:r>
      <w:r>
        <w:rPr>
          <w:rFonts w:hint="eastAsia" w:ascii="宋体" w:hAnsi="宋体" w:eastAsia="宋体" w:cs="宋体"/>
          <w:color w:val="auto"/>
          <w:sz w:val="22"/>
          <w:szCs w:val="22"/>
          <w:highlight w:val="none"/>
        </w:rPr>
        <w:t>供应商应仔细阅读采购文件中的所有内容，按照采购文件要求，详细编制投标文件。并对采购文件的要求做出实质上响应。实质上响应的投标应该是与采购文件要求的条款没有重大偏离的投标。未实质上响应的投标文件将被拒绝，但允许投标在基本满足采购文件要求的前提下出现的微小差异。</w:t>
      </w:r>
    </w:p>
    <w:p w14:paraId="0C04D2E6">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1.2</w:t>
      </w:r>
      <w:r>
        <w:rPr>
          <w:rFonts w:hint="eastAsia" w:ascii="宋体" w:hAnsi="宋体" w:eastAsia="宋体" w:cs="宋体"/>
          <w:color w:val="auto"/>
          <w:sz w:val="22"/>
          <w:szCs w:val="22"/>
          <w:highlight w:val="none"/>
        </w:rPr>
        <w:t>供应商必须按采购文件的要求提供相关技术参数、资料，包括采用的计量单位，并保证投标文件的正确性和真实性。投标文件全部内容应保持一致，否则可能导致不利于其投标的评定甚至被拒绝。技术和商务如有偏离均应填写偏离表。</w:t>
      </w:r>
    </w:p>
    <w:p w14:paraId="2EB38BFF">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zh-CN"/>
        </w:rPr>
        <w:t>1.3供应商应仔细阅读采购文件中的所有内容，按照采购文件要求，详细编制投标文件，所有文件资料必须是针对本次投标。不按采购文件的要求提供的投标文件可能导致被拒绝。</w:t>
      </w:r>
    </w:p>
    <w:p w14:paraId="649C2949">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2、投标文件的组成 </w:t>
      </w:r>
    </w:p>
    <w:p w14:paraId="22F44345">
      <w:pPr>
        <w:wordWrap w:val="0"/>
        <w:autoSpaceDE w:val="0"/>
        <w:autoSpaceDN w:val="0"/>
        <w:adjustRightInd w:val="0"/>
        <w:snapToGrid w:val="0"/>
        <w:spacing w:line="360" w:lineRule="auto"/>
        <w:ind w:firstLine="431" w:firstLineChars="196"/>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2、投标文件的组成  </w:t>
      </w:r>
    </w:p>
    <w:p w14:paraId="1C3B8E6B">
      <w:pPr>
        <w:wordWrap w:val="0"/>
        <w:autoSpaceDE w:val="0"/>
        <w:autoSpaceDN w:val="0"/>
        <w:adjustRightInd w:val="0"/>
        <w:snapToGrid w:val="0"/>
        <w:spacing w:line="360" w:lineRule="auto"/>
        <w:ind w:firstLine="442" w:firstLineChars="200"/>
        <w:rPr>
          <w:rFonts w:hint="eastAsia" w:ascii="宋体" w:hAnsi="宋体" w:eastAsia="宋体" w:cs="宋体"/>
          <w:b/>
          <w:color w:val="auto"/>
          <w:sz w:val="22"/>
          <w:szCs w:val="22"/>
          <w:highlight w:val="none"/>
          <w:lang w:val="zh-CN"/>
        </w:rPr>
      </w:pPr>
      <w:r>
        <w:rPr>
          <w:rFonts w:hint="eastAsia" w:ascii="宋体" w:hAnsi="宋体" w:eastAsia="宋体" w:cs="宋体"/>
          <w:b/>
          <w:color w:val="auto"/>
          <w:sz w:val="22"/>
          <w:szCs w:val="22"/>
          <w:highlight w:val="none"/>
          <w:u w:val="single"/>
        </w:rPr>
        <w:t>投标文件应当包括以下主要内容</w:t>
      </w:r>
      <w:r>
        <w:rPr>
          <w:rFonts w:hint="eastAsia" w:ascii="宋体" w:hAnsi="宋体" w:eastAsia="宋体" w:cs="宋体"/>
          <w:b/>
          <w:color w:val="auto"/>
          <w:sz w:val="22"/>
          <w:szCs w:val="22"/>
          <w:highlight w:val="none"/>
          <w:u w:val="single"/>
          <w:lang w:eastAsia="zh-CN"/>
        </w:rPr>
        <w:t>：</w:t>
      </w:r>
      <w:r>
        <w:rPr>
          <w:rFonts w:hint="eastAsia" w:ascii="宋体" w:hAnsi="宋体" w:eastAsia="宋体" w:cs="宋体"/>
          <w:b/>
          <w:color w:val="auto"/>
          <w:sz w:val="22"/>
          <w:szCs w:val="22"/>
          <w:highlight w:val="none"/>
          <w:u w:val="single"/>
        </w:rPr>
        <w:t>资格文件、报价文件、商务技术文件。资格文件、商务技术文件不得含报价，否则投标将被拒绝。</w:t>
      </w:r>
    </w:p>
    <w:tbl>
      <w:tblPr>
        <w:tblStyle w:val="28"/>
        <w:tblW w:w="966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7970"/>
        <w:gridCol w:w="987"/>
      </w:tblGrid>
      <w:tr w14:paraId="0FDF2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tblHeader/>
          <w:jc w:val="center"/>
        </w:trPr>
        <w:tc>
          <w:tcPr>
            <w:tcW w:w="709" w:type="dxa"/>
            <w:tcBorders>
              <w:bottom w:val="single" w:color="auto" w:sz="6" w:space="0"/>
            </w:tcBorders>
            <w:vAlign w:val="center"/>
          </w:tcPr>
          <w:p w14:paraId="342DB619">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7970" w:type="dxa"/>
            <w:tcBorders>
              <w:bottom w:val="single" w:color="auto" w:sz="6" w:space="0"/>
            </w:tcBorders>
            <w:vAlign w:val="center"/>
          </w:tcPr>
          <w:p w14:paraId="5F7DADE7">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响应文件组成内容</w:t>
            </w:r>
          </w:p>
        </w:tc>
        <w:tc>
          <w:tcPr>
            <w:tcW w:w="987" w:type="dxa"/>
            <w:tcBorders>
              <w:bottom w:val="single" w:color="auto" w:sz="6" w:space="0"/>
            </w:tcBorders>
            <w:vAlign w:val="center"/>
          </w:tcPr>
          <w:p w14:paraId="2852DC3A">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投标</w:t>
            </w:r>
          </w:p>
          <w:p w14:paraId="60E841BF">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格式</w:t>
            </w:r>
          </w:p>
        </w:tc>
      </w:tr>
      <w:tr w14:paraId="492BDA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2" w:hRule="atLeast"/>
          <w:jc w:val="center"/>
        </w:trPr>
        <w:tc>
          <w:tcPr>
            <w:tcW w:w="9666" w:type="dxa"/>
            <w:gridSpan w:val="3"/>
            <w:tcBorders>
              <w:top w:val="single" w:color="auto" w:sz="6" w:space="0"/>
              <w:bottom w:val="single" w:color="auto" w:sz="6" w:space="0"/>
            </w:tcBorders>
            <w:vAlign w:val="center"/>
          </w:tcPr>
          <w:p w14:paraId="449FC426">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一、《资格文件》组成内容（须单页保存，逐页上传，格式见附件）（此项供应商必须提供，否则不能通过资格性审查的，责任自负）</w:t>
            </w:r>
          </w:p>
        </w:tc>
      </w:tr>
      <w:tr w14:paraId="1DFA7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2" w:hRule="atLeast"/>
          <w:jc w:val="center"/>
        </w:trPr>
        <w:tc>
          <w:tcPr>
            <w:tcW w:w="709" w:type="dxa"/>
            <w:tcBorders>
              <w:top w:val="single" w:color="auto" w:sz="6" w:space="0"/>
            </w:tcBorders>
            <w:vAlign w:val="center"/>
          </w:tcPr>
          <w:p w14:paraId="725C733A">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7970" w:type="dxa"/>
            <w:tcBorders>
              <w:top w:val="single" w:color="auto" w:sz="6" w:space="0"/>
            </w:tcBorders>
            <w:vAlign w:val="center"/>
          </w:tcPr>
          <w:p w14:paraId="44260BCF">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《资格文件》封面</w:t>
            </w:r>
          </w:p>
        </w:tc>
        <w:tc>
          <w:tcPr>
            <w:tcW w:w="987" w:type="dxa"/>
            <w:tcBorders>
              <w:top w:val="single" w:color="auto" w:sz="6" w:space="0"/>
            </w:tcBorders>
            <w:vAlign w:val="center"/>
          </w:tcPr>
          <w:p w14:paraId="478F3D6E">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03836B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tcBorders>
            <w:vAlign w:val="center"/>
          </w:tcPr>
          <w:p w14:paraId="2E827A02">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7970" w:type="dxa"/>
            <w:tcBorders>
              <w:top w:val="single" w:color="auto" w:sz="6" w:space="0"/>
            </w:tcBorders>
            <w:vAlign w:val="center"/>
          </w:tcPr>
          <w:p w14:paraId="5676E1E1">
            <w:pPr>
              <w:wordWrap w:val="0"/>
              <w:spacing w:line="360" w:lineRule="auto"/>
              <w:jc w:val="left"/>
              <w:rPr>
                <w:rFonts w:hint="eastAsia" w:ascii="宋体" w:hAnsi="宋体" w:eastAsia="宋体" w:cs="宋体"/>
                <w:b/>
                <w:color w:val="auto"/>
                <w:sz w:val="22"/>
                <w:szCs w:val="22"/>
                <w:highlight w:val="none"/>
                <w:lang w:eastAsia="zh-CN"/>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投标供应商资格审查声明函，格式见附件</w:t>
            </w:r>
          </w:p>
        </w:tc>
        <w:tc>
          <w:tcPr>
            <w:tcW w:w="987" w:type="dxa"/>
            <w:tcBorders>
              <w:top w:val="single" w:color="auto" w:sz="6" w:space="0"/>
            </w:tcBorders>
            <w:vAlign w:val="center"/>
          </w:tcPr>
          <w:p w14:paraId="3668FEE3">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C348C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709" w:type="dxa"/>
            <w:vAlign w:val="center"/>
          </w:tcPr>
          <w:p w14:paraId="758D20ED">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w:t>
            </w:r>
          </w:p>
        </w:tc>
        <w:tc>
          <w:tcPr>
            <w:tcW w:w="7970" w:type="dxa"/>
            <w:vAlign w:val="center"/>
          </w:tcPr>
          <w:p w14:paraId="64B3476C">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具有独立承担民事责任能力的证明材料</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u w:val="single"/>
              </w:rPr>
              <w:t>企业法人营业执照</w:t>
            </w:r>
            <w:r>
              <w:rPr>
                <w:rFonts w:hint="eastAsia" w:ascii="宋体" w:hAnsi="宋体" w:eastAsia="宋体" w:cs="宋体"/>
                <w:color w:val="auto"/>
                <w:sz w:val="22"/>
                <w:szCs w:val="22"/>
                <w:highlight w:val="none"/>
              </w:rPr>
              <w:t>（提供复制件加盖投标供应商公章）或供应商为依法允许经营的事业单位的，应提交事业单位法人证书（提供复制件加盖投标供应商公章）</w:t>
            </w:r>
          </w:p>
          <w:p w14:paraId="63455FFB">
            <w:pPr>
              <w:wordWrap w:val="0"/>
              <w:spacing w:line="360" w:lineRule="auto"/>
              <w:jc w:val="left"/>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备注</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投标供应商公章）。</w:t>
            </w:r>
          </w:p>
        </w:tc>
        <w:tc>
          <w:tcPr>
            <w:tcW w:w="987" w:type="dxa"/>
            <w:vAlign w:val="center"/>
          </w:tcPr>
          <w:p w14:paraId="1EF0A85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1183EE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1502D395">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w:t>
            </w:r>
          </w:p>
        </w:tc>
        <w:tc>
          <w:tcPr>
            <w:tcW w:w="7970" w:type="dxa"/>
            <w:vAlign w:val="center"/>
          </w:tcPr>
          <w:p w14:paraId="37B87105">
            <w:pPr>
              <w:wordWrap w:val="0"/>
              <w:spacing w:line="360" w:lineRule="auto"/>
              <w:jc w:val="left"/>
              <w:rPr>
                <w:rFonts w:hint="eastAsia" w:ascii="宋体" w:hAnsi="宋体" w:eastAsia="宋体" w:cs="宋体"/>
                <w:b/>
                <w:color w:val="auto"/>
                <w:sz w:val="22"/>
                <w:szCs w:val="22"/>
                <w:highlight w:val="none"/>
                <w:lang w:eastAsia="zh-CN"/>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供应商符合参与国企采购活动资格条件的声明函，格式见附件。</w:t>
            </w:r>
          </w:p>
        </w:tc>
        <w:tc>
          <w:tcPr>
            <w:tcW w:w="987" w:type="dxa"/>
            <w:vAlign w:val="center"/>
          </w:tcPr>
          <w:p w14:paraId="06610A43">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4F32F83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709" w:type="dxa"/>
            <w:vAlign w:val="center"/>
          </w:tcPr>
          <w:p w14:paraId="0D610C41">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w:t>
            </w:r>
          </w:p>
        </w:tc>
        <w:tc>
          <w:tcPr>
            <w:tcW w:w="7970" w:type="dxa"/>
            <w:vAlign w:val="center"/>
          </w:tcPr>
          <w:p w14:paraId="0A158F14">
            <w:pPr>
              <w:wordWrap w:val="0"/>
              <w:autoSpaceDE w:val="0"/>
              <w:autoSpaceDN w:val="0"/>
              <w:adjustRightInd w:val="0"/>
              <w:snapToGrid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供应商法定代表人授权书（非法定代表人参加投标时须提供）；</w:t>
            </w:r>
          </w:p>
        </w:tc>
        <w:tc>
          <w:tcPr>
            <w:tcW w:w="987" w:type="dxa"/>
            <w:vAlign w:val="center"/>
          </w:tcPr>
          <w:p w14:paraId="59FE9499">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1170BA0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8" w:hRule="atLeast"/>
          <w:jc w:val="center"/>
        </w:trPr>
        <w:tc>
          <w:tcPr>
            <w:tcW w:w="709" w:type="dxa"/>
            <w:vAlign w:val="center"/>
          </w:tcPr>
          <w:p w14:paraId="483337E9">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6</w:t>
            </w:r>
          </w:p>
        </w:tc>
        <w:tc>
          <w:tcPr>
            <w:tcW w:w="7970" w:type="dxa"/>
            <w:vAlign w:val="center"/>
          </w:tcPr>
          <w:p w14:paraId="50B9B33F">
            <w:pPr>
              <w:wordWrap w:val="0"/>
              <w:autoSpaceDE w:val="0"/>
              <w:autoSpaceDN w:val="0"/>
              <w:adjustRightInd w:val="0"/>
              <w:snapToGrid w:val="0"/>
              <w:spacing w:line="360" w:lineRule="auto"/>
              <w:jc w:val="left"/>
              <w:rPr>
                <w:rFonts w:hint="eastAsia" w:ascii="宋体" w:hAnsi="宋体" w:eastAsia="宋体" w:cs="宋体"/>
                <w:b/>
                <w:color w:val="auto"/>
                <w:sz w:val="22"/>
                <w:szCs w:val="22"/>
                <w:highlight w:val="none"/>
                <w:lang w:eastAsia="zh-CN"/>
              </w:rPr>
            </w:pP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1）</w:t>
            </w:r>
            <w:r>
              <w:rPr>
                <w:rFonts w:hint="eastAsia" w:ascii="宋体" w:hAnsi="宋体" w:eastAsia="宋体" w:cs="宋体"/>
                <w:b/>
                <w:bCs/>
                <w:color w:val="auto"/>
                <w:sz w:val="22"/>
                <w:szCs w:val="22"/>
                <w:highlight w:val="none"/>
              </w:rPr>
              <w:t>具有应急管理局颁发的《危险化学品经营许可证》（许可范围：天然气）；</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2）</w:t>
            </w:r>
            <w:r>
              <w:rPr>
                <w:rFonts w:hint="eastAsia" w:ascii="宋体" w:hAnsi="宋体" w:eastAsia="宋体" w:cs="宋体"/>
                <w:b/>
                <w:bCs/>
                <w:color w:val="auto"/>
                <w:sz w:val="22"/>
                <w:szCs w:val="22"/>
                <w:highlight w:val="none"/>
              </w:rPr>
              <w:t>自行运输或委托第三方运输，须具备由道路运输管理部门颁发的《道路运输经营许可证》（经营范围：危险货物运输[2类1项]或[2.1项]）(如委托第三方运输，需提供第三方运输单位的《营业执照》和《道路运输经营许可证》外，同时还须提供与第三方运输单位的运输合同</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lang w:val="en-US" w:eastAsia="zh-CN"/>
              </w:rPr>
              <w:t>格式自拟</w:t>
            </w:r>
            <w:r>
              <w:rPr>
                <w:rFonts w:hint="eastAsia" w:ascii="宋体" w:hAnsi="宋体" w:eastAsia="宋体" w:cs="宋体"/>
                <w:b/>
                <w:bCs/>
                <w:color w:val="auto"/>
                <w:sz w:val="22"/>
                <w:szCs w:val="22"/>
                <w:highlight w:val="none"/>
                <w:lang w:eastAsia="zh-CN"/>
              </w:rPr>
              <w:t>）</w:t>
            </w:r>
          </w:p>
        </w:tc>
        <w:tc>
          <w:tcPr>
            <w:tcW w:w="987" w:type="dxa"/>
            <w:vAlign w:val="center"/>
          </w:tcPr>
          <w:p w14:paraId="0A026419">
            <w:pPr>
              <w:wordWrap w:val="0"/>
              <w:spacing w:line="360" w:lineRule="auto"/>
              <w:jc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无</w:t>
            </w:r>
          </w:p>
        </w:tc>
      </w:tr>
      <w:tr w14:paraId="3AB1A0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666" w:type="dxa"/>
            <w:gridSpan w:val="3"/>
            <w:tcBorders>
              <w:bottom w:val="single" w:color="auto" w:sz="6" w:space="0"/>
            </w:tcBorders>
            <w:vAlign w:val="center"/>
          </w:tcPr>
          <w:p w14:paraId="5E701593">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1、上述资格2-4证明文件未提供或提供的资格证明材料不齐全的，资格审查作不通过处理，不得进入评审程序。</w:t>
            </w:r>
          </w:p>
        </w:tc>
      </w:tr>
      <w:tr w14:paraId="6014391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4" w:hRule="atLeast"/>
          <w:jc w:val="center"/>
        </w:trPr>
        <w:tc>
          <w:tcPr>
            <w:tcW w:w="9666" w:type="dxa"/>
            <w:gridSpan w:val="3"/>
            <w:tcBorders>
              <w:top w:val="single" w:color="auto" w:sz="6" w:space="0"/>
              <w:bottom w:val="single" w:color="auto" w:sz="6" w:space="0"/>
            </w:tcBorders>
            <w:vAlign w:val="center"/>
          </w:tcPr>
          <w:p w14:paraId="7A52B199">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二、《商务技术文件》组成内容</w:t>
            </w:r>
          </w:p>
        </w:tc>
      </w:tr>
      <w:tr w14:paraId="7FCE97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tcBorders>
            <w:vAlign w:val="center"/>
          </w:tcPr>
          <w:p w14:paraId="64D63B58">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7970" w:type="dxa"/>
            <w:tcBorders>
              <w:top w:val="single" w:color="auto" w:sz="6" w:space="0"/>
            </w:tcBorders>
            <w:vAlign w:val="center"/>
          </w:tcPr>
          <w:p w14:paraId="3CA530D8">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《商务技术文件》封面</w:t>
            </w:r>
          </w:p>
        </w:tc>
        <w:tc>
          <w:tcPr>
            <w:tcW w:w="987" w:type="dxa"/>
            <w:tcBorders>
              <w:top w:val="single" w:color="auto" w:sz="6" w:space="0"/>
            </w:tcBorders>
            <w:vAlign w:val="center"/>
          </w:tcPr>
          <w:p w14:paraId="5389BCB1">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7F3DCA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0065AE43">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7970" w:type="dxa"/>
            <w:vAlign w:val="center"/>
          </w:tcPr>
          <w:p w14:paraId="4B5073D6">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《商务技术文件》目录（自拟）</w:t>
            </w:r>
          </w:p>
        </w:tc>
        <w:tc>
          <w:tcPr>
            <w:tcW w:w="987" w:type="dxa"/>
            <w:vAlign w:val="center"/>
          </w:tcPr>
          <w:p w14:paraId="7CFFAAC8">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4F8C79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67E3632B">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w:t>
            </w:r>
          </w:p>
        </w:tc>
        <w:tc>
          <w:tcPr>
            <w:tcW w:w="7970" w:type="dxa"/>
            <w:vAlign w:val="center"/>
          </w:tcPr>
          <w:p w14:paraId="6BDE7143">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供应商自评分指引表（自拟）</w:t>
            </w:r>
          </w:p>
        </w:tc>
        <w:tc>
          <w:tcPr>
            <w:tcW w:w="987" w:type="dxa"/>
            <w:vAlign w:val="center"/>
          </w:tcPr>
          <w:p w14:paraId="610F8B7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0103DC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7271D6B6">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w:t>
            </w:r>
          </w:p>
        </w:tc>
        <w:tc>
          <w:tcPr>
            <w:tcW w:w="7970" w:type="dxa"/>
            <w:vAlign w:val="center"/>
          </w:tcPr>
          <w:p w14:paraId="5034466A">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供应商参与采购活动投标资格声明</w:t>
            </w:r>
          </w:p>
        </w:tc>
        <w:tc>
          <w:tcPr>
            <w:tcW w:w="987" w:type="dxa"/>
            <w:vAlign w:val="center"/>
          </w:tcPr>
          <w:p w14:paraId="0EA04E28">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58403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7F331AAD">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w:t>
            </w:r>
          </w:p>
        </w:tc>
        <w:tc>
          <w:tcPr>
            <w:tcW w:w="7970" w:type="dxa"/>
            <w:vAlign w:val="center"/>
          </w:tcPr>
          <w:p w14:paraId="5DE5AFDC">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投标函</w:t>
            </w:r>
          </w:p>
        </w:tc>
        <w:tc>
          <w:tcPr>
            <w:tcW w:w="987" w:type="dxa"/>
            <w:vAlign w:val="center"/>
          </w:tcPr>
          <w:p w14:paraId="38319F65">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74DA7B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vAlign w:val="center"/>
          </w:tcPr>
          <w:p w14:paraId="0FA1F06D">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6</w:t>
            </w:r>
          </w:p>
        </w:tc>
        <w:tc>
          <w:tcPr>
            <w:tcW w:w="7970" w:type="dxa"/>
            <w:vAlign w:val="center"/>
          </w:tcPr>
          <w:p w14:paraId="57FFA1C5">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投标供应商情况声明（后附企业简介）</w:t>
            </w:r>
          </w:p>
        </w:tc>
        <w:tc>
          <w:tcPr>
            <w:tcW w:w="987" w:type="dxa"/>
            <w:vAlign w:val="center"/>
          </w:tcPr>
          <w:p w14:paraId="6FD1E5ED">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1EED3C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bottom w:val="single" w:color="auto" w:sz="6" w:space="0"/>
            </w:tcBorders>
            <w:vAlign w:val="center"/>
          </w:tcPr>
          <w:p w14:paraId="52DC9CB6">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7</w:t>
            </w:r>
          </w:p>
        </w:tc>
        <w:tc>
          <w:tcPr>
            <w:tcW w:w="7970" w:type="dxa"/>
            <w:tcBorders>
              <w:bottom w:val="single" w:color="auto" w:sz="6" w:space="0"/>
            </w:tcBorders>
            <w:shd w:val="clear" w:color="auto" w:fill="auto"/>
            <w:vAlign w:val="center"/>
          </w:tcPr>
          <w:p w14:paraId="164AC963">
            <w:pPr>
              <w:shd w:val="clear" w:color="auto" w:fill="auto"/>
              <w:wordWrap w:val="0"/>
              <w:spacing w:line="360" w:lineRule="auto"/>
              <w:jc w:val="left"/>
              <w:rPr>
                <w:rFonts w:hint="eastAsia" w:ascii="宋体" w:hAnsi="宋体" w:eastAsia="宋体" w:cs="宋体"/>
                <w:b/>
                <w:color w:val="auto"/>
                <w:kern w:val="2"/>
                <w:sz w:val="22"/>
                <w:szCs w:val="22"/>
                <w:highlight w:val="none"/>
                <w:lang w:val="en-US" w:eastAsia="zh-CN" w:bidi="ar-SA"/>
              </w:rPr>
            </w:pPr>
            <w:r>
              <w:rPr>
                <w:rFonts w:hint="eastAsia" w:ascii="宋体" w:hAnsi="宋体" w:eastAsia="宋体" w:cs="宋体"/>
                <w:b/>
                <w:color w:val="auto"/>
                <w:sz w:val="22"/>
                <w:szCs w:val="22"/>
                <w:highlight w:val="none"/>
                <w:lang w:val="zh-CN"/>
              </w:rPr>
              <w:t>类似项目业绩证明</w:t>
            </w:r>
          </w:p>
        </w:tc>
        <w:tc>
          <w:tcPr>
            <w:tcW w:w="987" w:type="dxa"/>
            <w:tcBorders>
              <w:bottom w:val="single" w:color="auto" w:sz="6" w:space="0"/>
            </w:tcBorders>
            <w:shd w:val="clear" w:color="auto" w:fill="auto"/>
            <w:vAlign w:val="center"/>
          </w:tcPr>
          <w:p w14:paraId="2C8FB94C">
            <w:pPr>
              <w:shd w:val="clear" w:color="auto" w:fill="auto"/>
              <w:wordWrap w:val="0"/>
              <w:spacing w:line="360" w:lineRule="auto"/>
              <w:jc w:val="center"/>
              <w:rPr>
                <w:rFonts w:hint="eastAsia" w:ascii="宋体" w:hAnsi="宋体" w:eastAsia="宋体" w:cs="宋体"/>
                <w:color w:val="auto"/>
                <w:kern w:val="2"/>
                <w:sz w:val="22"/>
                <w:szCs w:val="22"/>
                <w:highlight w:val="none"/>
                <w:lang w:val="en-US" w:eastAsia="zh-CN" w:bidi="ar-SA"/>
              </w:rPr>
            </w:pPr>
            <w:r>
              <w:rPr>
                <w:rFonts w:hint="eastAsia" w:ascii="宋体" w:hAnsi="宋体" w:eastAsia="宋体" w:cs="宋体"/>
                <w:color w:val="auto"/>
                <w:sz w:val="22"/>
                <w:szCs w:val="22"/>
                <w:highlight w:val="none"/>
              </w:rPr>
              <w:t>有</w:t>
            </w:r>
          </w:p>
        </w:tc>
      </w:tr>
      <w:tr w14:paraId="0A842B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bottom w:val="single" w:color="auto" w:sz="6" w:space="0"/>
            </w:tcBorders>
            <w:vAlign w:val="center"/>
          </w:tcPr>
          <w:p w14:paraId="52C5909B">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8</w:t>
            </w:r>
          </w:p>
        </w:tc>
        <w:tc>
          <w:tcPr>
            <w:tcW w:w="7970" w:type="dxa"/>
            <w:tcBorders>
              <w:bottom w:val="single" w:color="auto" w:sz="6" w:space="0"/>
            </w:tcBorders>
            <w:vAlign w:val="center"/>
          </w:tcPr>
          <w:p w14:paraId="2DA43D99">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商务偏离表、技术偏离表</w:t>
            </w:r>
            <w:r>
              <w:rPr>
                <w:rFonts w:hint="eastAsia" w:ascii="宋体" w:hAnsi="宋体" w:eastAsia="宋体" w:cs="宋体"/>
                <w:b/>
                <w:color w:val="auto"/>
                <w:sz w:val="22"/>
                <w:szCs w:val="22"/>
                <w:highlight w:val="none"/>
              </w:rPr>
              <w:t>(格式见附件也可自拟）</w:t>
            </w:r>
          </w:p>
        </w:tc>
        <w:tc>
          <w:tcPr>
            <w:tcW w:w="987" w:type="dxa"/>
            <w:tcBorders>
              <w:bottom w:val="single" w:color="auto" w:sz="6" w:space="0"/>
            </w:tcBorders>
            <w:vAlign w:val="center"/>
          </w:tcPr>
          <w:p w14:paraId="4413C162">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11DB3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0B80BA0E">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9</w:t>
            </w:r>
          </w:p>
        </w:tc>
        <w:tc>
          <w:tcPr>
            <w:tcW w:w="7970" w:type="dxa"/>
            <w:tcBorders>
              <w:top w:val="single" w:color="auto" w:sz="6" w:space="0"/>
              <w:bottom w:val="single" w:color="auto" w:sz="6" w:space="0"/>
            </w:tcBorders>
            <w:vAlign w:val="center"/>
          </w:tcPr>
          <w:p w14:paraId="15EFD584">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项目组织实施方案</w:t>
            </w:r>
            <w:r>
              <w:rPr>
                <w:rFonts w:hint="eastAsia" w:ascii="宋体" w:hAnsi="宋体" w:eastAsia="宋体" w:cs="宋体"/>
                <w:b/>
                <w:color w:val="auto"/>
                <w:sz w:val="22"/>
                <w:szCs w:val="22"/>
                <w:highlight w:val="none"/>
              </w:rPr>
              <w:t>(供应商根据评分细则自行自拟）</w:t>
            </w:r>
          </w:p>
        </w:tc>
        <w:tc>
          <w:tcPr>
            <w:tcW w:w="987" w:type="dxa"/>
            <w:tcBorders>
              <w:top w:val="single" w:color="auto" w:sz="6" w:space="0"/>
              <w:bottom w:val="single" w:color="auto" w:sz="6" w:space="0"/>
            </w:tcBorders>
            <w:vAlign w:val="center"/>
          </w:tcPr>
          <w:p w14:paraId="2A0DC140">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192F46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7A45B861">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10</w:t>
            </w:r>
          </w:p>
        </w:tc>
        <w:tc>
          <w:tcPr>
            <w:tcW w:w="7970" w:type="dxa"/>
            <w:tcBorders>
              <w:top w:val="single" w:color="auto" w:sz="6" w:space="0"/>
              <w:bottom w:val="single" w:color="auto" w:sz="6" w:space="0"/>
            </w:tcBorders>
            <w:vAlign w:val="center"/>
          </w:tcPr>
          <w:p w14:paraId="3B9A6A70">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其他内容根据评分细则自拟</w:t>
            </w:r>
          </w:p>
        </w:tc>
        <w:tc>
          <w:tcPr>
            <w:tcW w:w="987" w:type="dxa"/>
            <w:tcBorders>
              <w:top w:val="single" w:color="auto" w:sz="6" w:space="0"/>
              <w:bottom w:val="single" w:color="auto" w:sz="6" w:space="0"/>
            </w:tcBorders>
            <w:vAlign w:val="center"/>
          </w:tcPr>
          <w:p w14:paraId="64580A39">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32DA45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5E6D8B64">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11</w:t>
            </w:r>
          </w:p>
        </w:tc>
        <w:tc>
          <w:tcPr>
            <w:tcW w:w="7970" w:type="dxa"/>
            <w:tcBorders>
              <w:top w:val="single" w:color="auto" w:sz="6" w:space="0"/>
              <w:bottom w:val="single" w:color="auto" w:sz="6" w:space="0"/>
            </w:tcBorders>
            <w:vAlign w:val="center"/>
          </w:tcPr>
          <w:p w14:paraId="222B0F4D">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质量服务承诺书</w:t>
            </w:r>
          </w:p>
        </w:tc>
        <w:tc>
          <w:tcPr>
            <w:tcW w:w="987" w:type="dxa"/>
            <w:tcBorders>
              <w:top w:val="single" w:color="auto" w:sz="6" w:space="0"/>
              <w:bottom w:val="single" w:color="auto" w:sz="6" w:space="0"/>
            </w:tcBorders>
            <w:vAlign w:val="center"/>
          </w:tcPr>
          <w:p w14:paraId="5F425ED6">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63FB94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6809ED6F">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12</w:t>
            </w:r>
          </w:p>
        </w:tc>
        <w:tc>
          <w:tcPr>
            <w:tcW w:w="7970" w:type="dxa"/>
            <w:tcBorders>
              <w:top w:val="single" w:color="auto" w:sz="6" w:space="0"/>
              <w:bottom w:val="single" w:color="auto" w:sz="6" w:space="0"/>
            </w:tcBorders>
            <w:vAlign w:val="center"/>
          </w:tcPr>
          <w:p w14:paraId="2675B27B">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诚信投标承诺书</w:t>
            </w:r>
          </w:p>
        </w:tc>
        <w:tc>
          <w:tcPr>
            <w:tcW w:w="987" w:type="dxa"/>
            <w:tcBorders>
              <w:top w:val="single" w:color="auto" w:sz="6" w:space="0"/>
              <w:bottom w:val="single" w:color="auto" w:sz="6" w:space="0"/>
            </w:tcBorders>
            <w:vAlign w:val="center"/>
          </w:tcPr>
          <w:p w14:paraId="2D607487">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423DC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7104D80F">
            <w:pPr>
              <w:wordWrap w:val="0"/>
              <w:spacing w:line="360" w:lineRule="auto"/>
              <w:jc w:val="center"/>
              <w:rPr>
                <w:rFonts w:hint="eastAsia" w:ascii="宋体" w:hAnsi="宋体" w:eastAsia="宋体" w:cs="宋体"/>
                <w:b/>
                <w:color w:val="auto"/>
                <w:sz w:val="22"/>
                <w:szCs w:val="22"/>
                <w:highlight w:val="none"/>
                <w:lang w:val="en-US" w:eastAsia="zh-CN"/>
              </w:rPr>
            </w:pPr>
            <w:r>
              <w:rPr>
                <w:rFonts w:hint="eastAsia" w:ascii="宋体" w:hAnsi="宋体" w:eastAsia="宋体" w:cs="宋体"/>
                <w:b/>
                <w:color w:val="auto"/>
                <w:sz w:val="22"/>
                <w:szCs w:val="22"/>
                <w:highlight w:val="none"/>
                <w:lang w:val="en-US" w:eastAsia="zh-CN"/>
              </w:rPr>
              <w:t>13</w:t>
            </w:r>
          </w:p>
        </w:tc>
        <w:tc>
          <w:tcPr>
            <w:tcW w:w="7970" w:type="dxa"/>
            <w:tcBorders>
              <w:top w:val="single" w:color="auto" w:sz="6" w:space="0"/>
              <w:bottom w:val="single" w:color="auto" w:sz="6" w:space="0"/>
            </w:tcBorders>
            <w:vAlign w:val="center"/>
          </w:tcPr>
          <w:p w14:paraId="654CC26C">
            <w:pPr>
              <w:wordWrap w:val="0"/>
              <w:spacing w:line="360" w:lineRule="auto"/>
              <w:jc w:val="left"/>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投标供应商认为有必要提供的其他与报价有关的材料或说明（如有）</w:t>
            </w:r>
          </w:p>
        </w:tc>
        <w:tc>
          <w:tcPr>
            <w:tcW w:w="987" w:type="dxa"/>
            <w:tcBorders>
              <w:top w:val="single" w:color="auto" w:sz="6" w:space="0"/>
              <w:bottom w:val="single" w:color="auto" w:sz="6" w:space="0"/>
            </w:tcBorders>
            <w:vAlign w:val="center"/>
          </w:tcPr>
          <w:p w14:paraId="5C79540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6500D98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10" w:hRule="atLeast"/>
          <w:jc w:val="center"/>
        </w:trPr>
        <w:tc>
          <w:tcPr>
            <w:tcW w:w="9666" w:type="dxa"/>
            <w:gridSpan w:val="3"/>
            <w:tcBorders>
              <w:top w:val="single" w:color="auto" w:sz="6" w:space="0"/>
              <w:bottom w:val="single" w:color="auto" w:sz="6" w:space="0"/>
            </w:tcBorders>
            <w:vAlign w:val="center"/>
          </w:tcPr>
          <w:p w14:paraId="27A449D0">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三、《报价文件》组成内容【依序编制】</w:t>
            </w:r>
          </w:p>
        </w:tc>
      </w:tr>
      <w:tr w14:paraId="3D18C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077885A5">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w:t>
            </w:r>
          </w:p>
        </w:tc>
        <w:tc>
          <w:tcPr>
            <w:tcW w:w="7970" w:type="dxa"/>
            <w:tcBorders>
              <w:top w:val="single" w:color="auto" w:sz="6" w:space="0"/>
              <w:bottom w:val="single" w:color="auto" w:sz="6" w:space="0"/>
            </w:tcBorders>
            <w:vAlign w:val="center"/>
          </w:tcPr>
          <w:p w14:paraId="637F5985">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《报价文件》封面</w:t>
            </w:r>
          </w:p>
        </w:tc>
        <w:tc>
          <w:tcPr>
            <w:tcW w:w="987" w:type="dxa"/>
            <w:tcBorders>
              <w:top w:val="single" w:color="auto" w:sz="6" w:space="0"/>
              <w:bottom w:val="single" w:color="auto" w:sz="6" w:space="0"/>
            </w:tcBorders>
            <w:vAlign w:val="center"/>
          </w:tcPr>
          <w:p w14:paraId="4C0DEE56">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377522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088055BD">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w:t>
            </w:r>
          </w:p>
        </w:tc>
        <w:tc>
          <w:tcPr>
            <w:tcW w:w="7970" w:type="dxa"/>
            <w:tcBorders>
              <w:top w:val="single" w:color="auto" w:sz="6" w:space="0"/>
              <w:bottom w:val="single" w:color="auto" w:sz="6" w:space="0"/>
            </w:tcBorders>
            <w:vAlign w:val="center"/>
          </w:tcPr>
          <w:p w14:paraId="4D1E7B02">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《报价文件》目录</w:t>
            </w:r>
            <w:r>
              <w:rPr>
                <w:rFonts w:hint="eastAsia" w:ascii="宋体" w:hAnsi="宋体" w:eastAsia="宋体" w:cs="宋体"/>
                <w:color w:val="auto"/>
                <w:sz w:val="22"/>
                <w:szCs w:val="22"/>
                <w:highlight w:val="none"/>
              </w:rPr>
              <w:t>（格式自拟）</w:t>
            </w:r>
          </w:p>
        </w:tc>
        <w:tc>
          <w:tcPr>
            <w:tcW w:w="987" w:type="dxa"/>
            <w:tcBorders>
              <w:top w:val="single" w:color="auto" w:sz="6" w:space="0"/>
              <w:bottom w:val="single" w:color="auto" w:sz="6" w:space="0"/>
            </w:tcBorders>
            <w:vAlign w:val="center"/>
          </w:tcPr>
          <w:p w14:paraId="15F2650A">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无</w:t>
            </w:r>
          </w:p>
        </w:tc>
      </w:tr>
      <w:tr w14:paraId="462C18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09" w:type="dxa"/>
            <w:tcBorders>
              <w:top w:val="single" w:color="auto" w:sz="6" w:space="0"/>
              <w:bottom w:val="single" w:color="auto" w:sz="6" w:space="0"/>
            </w:tcBorders>
            <w:vAlign w:val="center"/>
          </w:tcPr>
          <w:p w14:paraId="1F8C27E8">
            <w:pPr>
              <w:wordWrap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w:t>
            </w:r>
          </w:p>
        </w:tc>
        <w:tc>
          <w:tcPr>
            <w:tcW w:w="7970" w:type="dxa"/>
            <w:tcBorders>
              <w:top w:val="single" w:color="auto" w:sz="6" w:space="0"/>
              <w:bottom w:val="single" w:color="auto" w:sz="6" w:space="0"/>
            </w:tcBorders>
            <w:vAlign w:val="center"/>
          </w:tcPr>
          <w:p w14:paraId="2C60D57B">
            <w:pPr>
              <w:wordWrap w:val="0"/>
              <w:spacing w:line="360" w:lineRule="auto"/>
              <w:jc w:val="left"/>
              <w:rPr>
                <w:rFonts w:hint="eastAsia" w:ascii="宋体" w:hAnsi="宋体" w:eastAsia="宋体" w:cs="宋体"/>
                <w:b/>
                <w:color w:val="auto"/>
                <w:sz w:val="22"/>
                <w:szCs w:val="22"/>
                <w:highlight w:val="none"/>
              </w:rPr>
            </w:pP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开标一览表</w:t>
            </w:r>
          </w:p>
        </w:tc>
        <w:tc>
          <w:tcPr>
            <w:tcW w:w="987" w:type="dxa"/>
            <w:tcBorders>
              <w:top w:val="single" w:color="auto" w:sz="6" w:space="0"/>
              <w:bottom w:val="single" w:color="auto" w:sz="6" w:space="0"/>
            </w:tcBorders>
            <w:vAlign w:val="center"/>
          </w:tcPr>
          <w:p w14:paraId="5E1E6D1B">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有</w:t>
            </w:r>
          </w:p>
        </w:tc>
      </w:tr>
      <w:tr w14:paraId="272C08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666" w:type="dxa"/>
            <w:gridSpan w:val="3"/>
            <w:vAlign w:val="center"/>
          </w:tcPr>
          <w:p w14:paraId="7092CBCF">
            <w:pPr>
              <w:wordWrap w:val="0"/>
              <w:spacing w:line="360" w:lineRule="auto"/>
              <w:jc w:val="center"/>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备注说明</w:t>
            </w:r>
          </w:p>
        </w:tc>
      </w:tr>
      <w:tr w14:paraId="1093DD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9666" w:type="dxa"/>
            <w:gridSpan w:val="3"/>
            <w:vAlign w:val="center"/>
          </w:tcPr>
          <w:p w14:paraId="6657FBC2">
            <w:pPr>
              <w:wordWrap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上述内容本采购文件《响应文件格式》中有提供格式的，投标供应商可参照格式进行编制（格式中要求提供相关证明材料的还需后附相关证明材料），并按格式要求在指定位置根据要求进行签章，否则视为未提供；</w:t>
            </w:r>
          </w:p>
          <w:p w14:paraId="04A0EA40">
            <w:pPr>
              <w:wordWrap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（2）采购文件《响应文件格式》未提供格式的，请各投标供应商自行拟定格式，并加盖单位公章并由法定代表人或其授权代表签署（签字或盖章），否则视为未提供；</w:t>
            </w:r>
          </w:p>
          <w:p w14:paraId="0193F43F">
            <w:pPr>
              <w:wordWrap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（3）可以提供复制件的相关证明材料必须加盖投标供应商公章，否则视为未提供（例如</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各类资格资质证书、业绩材料、许可材料、荣誉证书、产品注册登记材料、产品检测材料、验收材料等）；</w:t>
            </w:r>
          </w:p>
          <w:p w14:paraId="13C7F9C8">
            <w:pPr>
              <w:wordWrap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（4）以上内容中标注“</w:t>
            </w:r>
            <w:r>
              <w:rPr>
                <w:rFonts w:hint="eastAsia" w:ascii="宋体" w:hAnsi="宋体" w:eastAsia="宋体" w:cs="宋体"/>
                <w:color w:val="auto"/>
                <w:sz w:val="22"/>
                <w:szCs w:val="22"/>
                <w:highlight w:val="none"/>
              </w:rPr>
              <w:t>▲</w:t>
            </w:r>
            <w:r>
              <w:rPr>
                <w:rFonts w:hint="eastAsia" w:ascii="宋体" w:hAnsi="宋体" w:eastAsia="宋体" w:cs="宋体"/>
                <w:b/>
                <w:color w:val="auto"/>
                <w:sz w:val="22"/>
                <w:szCs w:val="22"/>
                <w:highlight w:val="none"/>
              </w:rPr>
              <w:t>”的内容为必须提供的内容，未提供的投标无效。</w:t>
            </w:r>
          </w:p>
        </w:tc>
      </w:tr>
    </w:tbl>
    <w:p w14:paraId="7DA47636">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 投标文件编制</w:t>
      </w:r>
    </w:p>
    <w:p w14:paraId="2C9FC2FD">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3.1本项目通过“乐采云平台（www.zcygov.cn）”实行在线投标响应（电子投标）。供应商应通过“政采云电子交易客户端”，并按照本采购文件和“乐采云平台”的要求编制并加密投标文件。</w:t>
      </w:r>
    </w:p>
    <w:p w14:paraId="390FAF71">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3.2投标供应商应当按照本章节 “投标文件组成”规定的内容及顺序在“政采云电子交易客户端”编制投标文件。其中《资格文件》和《商务技术文件》中不得出现本项目投标报价，如因投标供应商原因提前泄露投标报价，是投标供应商的责任。</w:t>
      </w:r>
    </w:p>
    <w:p w14:paraId="67AB19C9">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3.3《投标文件》内容不完整、编排混乱导致《投标文件》被误读、漏读或者查找不到相关内容的，是投标供应商的责任。</w:t>
      </w:r>
    </w:p>
    <w:p w14:paraId="4F7B3F41">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3.4《投标文件》因字迹潦草或表达不清所引起的后果由投标供应商负责。</w:t>
      </w:r>
    </w:p>
    <w:p w14:paraId="7180556E">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3.5投标供应商没有按照本章节 “投标文件组成”要求提供全部资料，或者没有仔细阅读采购文件，或者没有对采购文件在各方面的要求作出实质性响应是投标供应商的风险，由此造成的一切后果由投标供应商自行承担。</w:t>
      </w:r>
    </w:p>
    <w:p w14:paraId="00DD7C81">
      <w:pPr>
        <w:wordWrap w:val="0"/>
        <w:autoSpaceDE w:val="0"/>
        <w:autoSpaceDN w:val="0"/>
        <w:adjustRightInd w:val="0"/>
        <w:snapToGrid w:val="0"/>
        <w:spacing w:line="360" w:lineRule="auto"/>
        <w:textAlignment w:val="bottom"/>
        <w:rPr>
          <w:rFonts w:hint="eastAsia" w:ascii="宋体" w:hAnsi="宋体" w:eastAsia="宋体" w:cs="宋体"/>
          <w:color w:val="auto"/>
          <w:sz w:val="22"/>
          <w:szCs w:val="22"/>
          <w:highlight w:val="none"/>
        </w:rPr>
      </w:pPr>
      <w:bookmarkStart w:id="39" w:name="_Toc132122412"/>
      <w:bookmarkStart w:id="40" w:name="_Toc132122115"/>
      <w:r>
        <w:rPr>
          <w:rFonts w:hint="eastAsia" w:ascii="宋体" w:hAnsi="宋体" w:eastAsia="宋体" w:cs="宋体"/>
          <w:color w:val="auto"/>
          <w:sz w:val="22"/>
          <w:szCs w:val="22"/>
          <w:highlight w:val="none"/>
        </w:rPr>
        <w:t>4.投标报价</w:t>
      </w:r>
      <w:bookmarkEnd w:id="39"/>
      <w:bookmarkEnd w:id="40"/>
    </w:p>
    <w:p w14:paraId="60CE8901">
      <w:pPr>
        <w:wordWrap w:val="0"/>
        <w:autoSpaceDE w:val="0"/>
        <w:autoSpaceDN w:val="0"/>
        <w:adjustRightInd w:val="0"/>
        <w:snapToGrid w:val="0"/>
        <w:spacing w:line="360" w:lineRule="auto"/>
        <w:ind w:firstLine="435" w:firstLineChars="198"/>
        <w:textAlignment w:val="bottom"/>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4.1、供应商应按采购文件中《开标一览表》填写报价。</w:t>
      </w:r>
      <w:r>
        <w:rPr>
          <w:rFonts w:hint="eastAsia" w:ascii="宋体" w:hAnsi="宋体" w:eastAsia="宋体" w:cs="宋体"/>
          <w:b/>
          <w:color w:val="auto"/>
          <w:sz w:val="22"/>
          <w:szCs w:val="22"/>
          <w:highlight w:val="none"/>
        </w:rPr>
        <w:t>投标供应商在线制作投标文件时《开标一览表》中填写的金额与解密后“电子加密投标文件”中《开标一览表》填写的金额不一致的，以解密后“电子加密投标文件”中《开标一览表》填写的金额为准，投标供应商拒绝接受此调整的，按无效投标处理</w:t>
      </w:r>
      <w:r>
        <w:rPr>
          <w:rFonts w:hint="eastAsia" w:ascii="宋体" w:hAnsi="宋体" w:eastAsia="宋体" w:cs="宋体"/>
          <w:color w:val="auto"/>
          <w:sz w:val="22"/>
          <w:szCs w:val="22"/>
          <w:highlight w:val="none"/>
        </w:rPr>
        <w:t>。</w:t>
      </w:r>
    </w:p>
    <w:p w14:paraId="1FCE5AE8">
      <w:pPr>
        <w:wordWrap w:val="0"/>
        <w:autoSpaceDE w:val="0"/>
        <w:autoSpaceDN w:val="0"/>
        <w:adjustRightInd w:val="0"/>
        <w:snapToGrid w:val="0"/>
        <w:spacing w:line="360" w:lineRule="auto"/>
        <w:ind w:firstLine="440" w:firstLineChars="200"/>
        <w:textAlignment w:val="bottom"/>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4.2、本次招标只允许有一个报价，有选择的报价将不予接受。</w:t>
      </w:r>
    </w:p>
    <w:p w14:paraId="5FBAB04F">
      <w:pPr>
        <w:wordWrap w:val="0"/>
        <w:autoSpaceDE w:val="0"/>
        <w:autoSpaceDN w:val="0"/>
        <w:adjustRightInd w:val="0"/>
        <w:snapToGrid w:val="0"/>
        <w:spacing w:line="360" w:lineRule="auto"/>
        <w:ind w:firstLine="440" w:firstLineChars="200"/>
        <w:textAlignment w:val="bottom"/>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4.3、</w:t>
      </w:r>
      <w:r>
        <w:rPr>
          <w:rFonts w:hint="eastAsia" w:ascii="宋体" w:hAnsi="宋体" w:eastAsia="宋体" w:cs="宋体"/>
          <w:color w:val="auto"/>
          <w:sz w:val="22"/>
          <w:szCs w:val="22"/>
          <w:highlight w:val="none"/>
          <w:u w:val="single"/>
        </w:rPr>
        <w:t>供应商对在合同执行中，除采购文件规定的由中标供应商负责的工作范围以外需要甲方协调或提供便利的工作应当在投标文件中说明。</w:t>
      </w:r>
    </w:p>
    <w:p w14:paraId="314F14AA">
      <w:pPr>
        <w:wordWrap w:val="0"/>
        <w:autoSpaceDE w:val="0"/>
        <w:autoSpaceDN w:val="0"/>
        <w:adjustRightInd w:val="0"/>
        <w:snapToGrid w:val="0"/>
        <w:spacing w:line="360" w:lineRule="auto"/>
        <w:ind w:firstLine="431" w:firstLineChars="196"/>
        <w:rPr>
          <w:rFonts w:hint="eastAsia" w:ascii="宋体" w:hAnsi="宋体" w:eastAsia="宋体" w:cs="宋体"/>
          <w:color w:val="auto"/>
          <w:sz w:val="22"/>
          <w:szCs w:val="22"/>
          <w:highlight w:val="none"/>
        </w:rPr>
      </w:pPr>
      <w:bookmarkStart w:id="41" w:name="_Toc132122414"/>
      <w:bookmarkStart w:id="42" w:name="_Toc132122117"/>
      <w:bookmarkStart w:id="43" w:name="_Toc132122415"/>
      <w:bookmarkStart w:id="44" w:name="_Toc132122118"/>
      <w:r>
        <w:rPr>
          <w:rFonts w:hint="eastAsia" w:ascii="宋体" w:hAnsi="宋体" w:eastAsia="宋体" w:cs="宋体"/>
          <w:color w:val="auto"/>
          <w:sz w:val="22"/>
          <w:szCs w:val="22"/>
          <w:highlight w:val="none"/>
        </w:rPr>
        <w:t>5、投标文件的有效期</w:t>
      </w:r>
      <w:bookmarkEnd w:id="41"/>
      <w:bookmarkEnd w:id="42"/>
    </w:p>
    <w:p w14:paraId="45626130">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5.1自开标日起90天内，投标文件应保持有效。有效期短于这个规定期限的投标将被拒绝。</w:t>
      </w:r>
    </w:p>
    <w:p w14:paraId="1DAAED18">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5.2在特殊情况下，采购人可与供应商协商延长投标文件的有效期，这种要求和答复均应以书面形式进行。</w:t>
      </w:r>
    </w:p>
    <w:p w14:paraId="3EC800ED">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5.3供应商可拒绝接受延期要求而不会导致处罚。同意延长有效期的供应商不能修改投标文件。</w:t>
      </w:r>
    </w:p>
    <w:bookmarkEnd w:id="43"/>
    <w:bookmarkEnd w:id="44"/>
    <w:p w14:paraId="1E4851BD">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6、投标文件的签章</w:t>
      </w:r>
    </w:p>
    <w:p w14:paraId="1BA4F1C0">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6.1《投标文件》的签章</w:t>
      </w:r>
      <w:r>
        <w:rPr>
          <w:rFonts w:hint="eastAsia" w:ascii="宋体" w:hAnsi="宋体" w:eastAsia="宋体" w:cs="宋体"/>
          <w:color w:val="auto"/>
          <w:sz w:val="22"/>
          <w:szCs w:val="22"/>
          <w:highlight w:val="none"/>
          <w:lang w:eastAsia="zh-CN"/>
        </w:rPr>
        <w:t>：</w:t>
      </w:r>
      <w:r>
        <w:rPr>
          <w:rFonts w:hint="eastAsia" w:ascii="宋体" w:hAnsi="宋体" w:eastAsia="宋体" w:cs="宋体"/>
          <w:b/>
          <w:color w:val="auto"/>
          <w:sz w:val="22"/>
          <w:szCs w:val="22"/>
          <w:highlight w:val="none"/>
          <w:lang w:bidi="ar"/>
        </w:rPr>
        <w:t>电子签章。</w:t>
      </w:r>
      <w:r>
        <w:rPr>
          <w:rFonts w:hint="eastAsia" w:ascii="宋体" w:hAnsi="宋体" w:eastAsia="宋体" w:cs="宋体"/>
          <w:color w:val="auto"/>
          <w:sz w:val="22"/>
          <w:szCs w:val="22"/>
          <w:highlight w:val="none"/>
        </w:rPr>
        <w:t>采购文件所指的加盖单位公章为电子签章。</w:t>
      </w:r>
    </w:p>
    <w:p w14:paraId="334D39C8">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6.2《投标文件》应由投标供应商法定代表人或其授权代表签字（或盖章），并时加盖投标供应商公章。</w:t>
      </w:r>
    </w:p>
    <w:p w14:paraId="4AA5E37B">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6.3电子签章操作指南详见采购公告附件《供应商项目采购-电子招投标操作指南》。</w:t>
      </w:r>
    </w:p>
    <w:p w14:paraId="2A228F64">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7、投标文件的形式</w:t>
      </w:r>
    </w:p>
    <w:p w14:paraId="3A4E1DA7">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7.1投标文件的形式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见投标通知(邀 请)书；</w:t>
      </w:r>
    </w:p>
    <w:p w14:paraId="50308AEB">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7.2“电子加密投标文件”</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“电子加密投标文件”是指通过“政采云电子交易客户端”完成投标文件编制后生成并加密的数据电文形式的投标文件。</w:t>
      </w:r>
    </w:p>
    <w:p w14:paraId="63D73B6A">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7.3“备份投标文件”</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“备份投标文件”是指与“电子加密投标文件”同时生成的数据电文形式的电子文件（备份标书），其他方式编制的“备份投标文件”视为无效的“备份投标文件”。</w:t>
      </w:r>
    </w:p>
    <w:p w14:paraId="4BE7537B">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8、投标文件的份数</w:t>
      </w:r>
    </w:p>
    <w:p w14:paraId="234B7313">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8.1投标文件的份数</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见投标通知(邀 请)书。</w:t>
      </w:r>
    </w:p>
    <w:p w14:paraId="04AAA718">
      <w:pPr>
        <w:wordWrap w:val="0"/>
        <w:snapToGrid w:val="0"/>
        <w:spacing w:line="360" w:lineRule="auto"/>
        <w:outlineLvl w:val="1"/>
        <w:rPr>
          <w:rFonts w:hint="eastAsia" w:ascii="宋体" w:hAnsi="宋体" w:eastAsia="宋体" w:cs="宋体"/>
          <w:bCs/>
          <w:color w:val="auto"/>
          <w:sz w:val="22"/>
          <w:szCs w:val="22"/>
          <w:highlight w:val="none"/>
        </w:rPr>
      </w:pPr>
      <w:bookmarkStart w:id="45" w:name="_Toc20340"/>
      <w:bookmarkStart w:id="46" w:name="_Toc27465"/>
      <w:r>
        <w:rPr>
          <w:rFonts w:hint="eastAsia" w:ascii="宋体" w:hAnsi="宋体" w:eastAsia="宋体" w:cs="宋体"/>
          <w:bCs/>
          <w:color w:val="auto"/>
          <w:sz w:val="22"/>
          <w:szCs w:val="22"/>
          <w:highlight w:val="none"/>
        </w:rPr>
        <w:t>五、投标</w:t>
      </w:r>
      <w:bookmarkEnd w:id="45"/>
      <w:bookmarkEnd w:id="46"/>
    </w:p>
    <w:p w14:paraId="1B6E12B0">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1、投标文件的上传和递交</w:t>
      </w:r>
    </w:p>
    <w:p w14:paraId="787D4203">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1.1“投标文件”的上传、递交</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见投标通知(邀 请)书。</w:t>
      </w:r>
    </w:p>
    <w:p w14:paraId="109E21C7">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2、“电子加密投标文件”解密和异常情况处理</w:t>
      </w:r>
    </w:p>
    <w:p w14:paraId="1DD47109">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2.1“电子加密投标文件”解密</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见投标通知(邀 请)书。</w:t>
      </w:r>
    </w:p>
    <w:p w14:paraId="330428B8">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3、投标文件的补充、修改或撤回</w:t>
      </w:r>
    </w:p>
    <w:p w14:paraId="70F9AA13">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供应商应当在投标截止时间前完成投标文件的上传、递交，并可以补充、修改或者撤回投标文件。补充或者修改投标文件的，应当先行撤回原文件，补充、修改后重新上传、递交。投标截止时间前未完成上传、递交的，视为撤回投标文件。投标截止时间后递交的投标文件，“乐采云平台”将予以拒收。</w:t>
      </w:r>
    </w:p>
    <w:p w14:paraId="1805EDE8">
      <w:pPr>
        <w:pStyle w:val="14"/>
        <w:wordWrap w:val="0"/>
        <w:adjustRightInd w:val="0"/>
        <w:snapToGrid w:val="0"/>
        <w:spacing w:line="360" w:lineRule="auto"/>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3.2投标截止时间后，投标供应商不得撤回、修改《投标文件》。</w:t>
      </w:r>
    </w:p>
    <w:p w14:paraId="011202DD">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4、投标文件的备选方案</w:t>
      </w:r>
    </w:p>
    <w:p w14:paraId="285695DE">
      <w:pPr>
        <w:pStyle w:val="14"/>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4.1投标供应商不得递交任何的投标备选（替代）方案，否则其投标文件将作无效标处理。与“电子加密投标文件”同时生成的“备份投标文件”不是投标备选（替代）方案。</w:t>
      </w:r>
    </w:p>
    <w:p w14:paraId="01B45B24">
      <w:pPr>
        <w:wordWrap w:val="0"/>
        <w:snapToGrid w:val="0"/>
        <w:spacing w:line="360" w:lineRule="auto"/>
        <w:outlineLvl w:val="1"/>
        <w:rPr>
          <w:rFonts w:hint="eastAsia" w:ascii="宋体" w:hAnsi="宋体" w:eastAsia="宋体" w:cs="宋体"/>
          <w:color w:val="auto"/>
          <w:sz w:val="22"/>
          <w:szCs w:val="22"/>
          <w:highlight w:val="none"/>
        </w:rPr>
      </w:pPr>
      <w:bookmarkStart w:id="47" w:name="_Toc20074"/>
      <w:bookmarkStart w:id="48" w:name="_Toc17239"/>
      <w:r>
        <w:rPr>
          <w:rFonts w:hint="eastAsia" w:ascii="宋体" w:hAnsi="宋体" w:eastAsia="宋体" w:cs="宋体"/>
          <w:color w:val="auto"/>
          <w:sz w:val="22"/>
          <w:szCs w:val="22"/>
          <w:highlight w:val="none"/>
        </w:rPr>
        <w:t>六、开标和评标</w:t>
      </w:r>
      <w:bookmarkEnd w:id="47"/>
      <w:bookmarkEnd w:id="48"/>
    </w:p>
    <w:p w14:paraId="4811B4DF">
      <w:pPr>
        <w:wordWrap w:val="0"/>
        <w:snapToGrid w:val="0"/>
        <w:spacing w:line="360" w:lineRule="auto"/>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一）开标</w:t>
      </w:r>
    </w:p>
    <w:p w14:paraId="7C47D82B">
      <w:pPr>
        <w:wordWrap w:val="0"/>
        <w:snapToGrid w:val="0"/>
        <w:spacing w:line="360" w:lineRule="auto"/>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1、开标形式</w:t>
      </w:r>
    </w:p>
    <w:p w14:paraId="5EF68708">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1.1 采购组织机构将按照采购文件规定的时间通过“乐采云平台”组织开标、开启投标文件，所有供应商均应当准时在线参加。</w:t>
      </w:r>
    </w:p>
    <w:p w14:paraId="39056590">
      <w:pPr>
        <w:wordWrap w:val="0"/>
        <w:snapToGrid w:val="0"/>
        <w:spacing w:line="360" w:lineRule="auto"/>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2、开标准备</w:t>
      </w:r>
    </w:p>
    <w:p w14:paraId="779256B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2.1开标的准备工作由采购组织机构负责落实；</w:t>
      </w:r>
    </w:p>
    <w:p w14:paraId="5BB86CC5">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采购组织机构将按照采购文件规定的时间通过“乐采云平台”组织开标、开启投标文件，所有供应商均应当准时在线参加。投标供应商如不参加开标大会的，视同认可开标结果，事后不得对采购相关人员、开标过程和开标结果提出异议，同时投标供应商因未在线参加开标而导致投标文件无法按时解密等一切后果由供应商自己承担。</w:t>
      </w:r>
    </w:p>
    <w:p w14:paraId="6BD4E769">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3、开标流程（两阶段）</w:t>
      </w:r>
    </w:p>
    <w:p w14:paraId="104FF6B7">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3.1开标第一阶段</w:t>
      </w:r>
    </w:p>
    <w:p w14:paraId="4380141C">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向各投标供应商发出电子加密投标文件【开始解密】通知，由供应商按采购文件规定的时间内自行进行投标文件解密。投标供应商在规定的时间内无法完成已递交的“电子加密投标文件”解密的，如已按规定递交了备份投标文件的，将由采购组织机构按“乐采云平台”操作规范将备份投标文件上传至“乐采云平台”，上传成功后，“电子加密投标文件”自动失效；</w:t>
      </w:r>
    </w:p>
    <w:p w14:paraId="69882A5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（2）投标文件解密结束，发送各投标供应商组织签署《国企采购活动现场确认声明书》；</w:t>
      </w:r>
    </w:p>
    <w:p w14:paraId="72351532">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（3）开启投标文件，进入资格审查；</w:t>
      </w:r>
    </w:p>
    <w:p w14:paraId="1FC10FB5">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（4）开启资格审查通过的投标供应商的商务技术文件进入符合性审查、商务技术评审；</w:t>
      </w:r>
    </w:p>
    <w:p w14:paraId="4E9CB3A6">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（5）第一阶段开标结束。</w:t>
      </w:r>
    </w:p>
    <w:p w14:paraId="33022D0B">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备注</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开标大会的第一阶段结束后，采购人或采购代理机构将对依法对投标供应商的资格进行审查，资格审查结束后进入符合性审查和商务技术的评审工作，具体见本章节“投标供应商资格审查”相关规定。</w:t>
      </w:r>
    </w:p>
    <w:p w14:paraId="47D22944">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3.2开标大会第二阶段</w:t>
      </w:r>
    </w:p>
    <w:p w14:paraId="3DE7F145">
      <w:pPr>
        <w:numPr>
          <w:ilvl w:val="0"/>
          <w:numId w:val="2"/>
        </w:numPr>
        <w:wordWrap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符合性审查、商务技术评审结束后，举行开标大会第二阶段会议。首先公布符合性审查、商务技术评审无效供应商名称及理由；公布经商务技术评审后有效投标供应商的名单，同时公布其商务技术部分得分情况。</w:t>
      </w:r>
    </w:p>
    <w:p w14:paraId="2C6C2E2E">
      <w:pPr>
        <w:numPr>
          <w:ilvl w:val="0"/>
          <w:numId w:val="2"/>
        </w:numPr>
        <w:wordWrap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开启符合性审查、商务技术评审有效投标供应商的《报价文件》。供应商签字确认（10分钟内未确认的视为无异议），由评标委员会对报价的合理性、准确性等进行审查核实。</w:t>
      </w:r>
    </w:p>
    <w:p w14:paraId="36BA3AEB">
      <w:pPr>
        <w:numPr>
          <w:ilvl w:val="0"/>
          <w:numId w:val="2"/>
        </w:numPr>
        <w:wordWrap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评审结束后，公布中标（成交）候选供应商名单，及采购人最终确定中标或成交供应商名单的时间和公告方式等。</w:t>
      </w:r>
    </w:p>
    <w:p w14:paraId="0D6F9975">
      <w:pPr>
        <w:wordWrap w:val="0"/>
        <w:snapToGrid w:val="0"/>
        <w:spacing w:line="360" w:lineRule="auto"/>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特别说明</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如遇“乐采云平台”电子化开标或评审程序调整的，按调整后程序执行。</w:t>
      </w:r>
    </w:p>
    <w:p w14:paraId="68D02389">
      <w:pPr>
        <w:wordWrap w:val="0"/>
        <w:snapToGrid w:val="0"/>
        <w:spacing w:line="360" w:lineRule="auto"/>
        <w:ind w:firstLine="527"/>
        <w:rPr>
          <w:rFonts w:hint="eastAsia" w:ascii="宋体" w:hAnsi="宋体" w:eastAsia="宋体" w:cs="宋体"/>
          <w:b/>
          <w:color w:val="auto"/>
          <w:sz w:val="22"/>
          <w:szCs w:val="22"/>
          <w:highlight w:val="none"/>
        </w:rPr>
      </w:pPr>
      <w:bookmarkStart w:id="49" w:name="_Toc24550037"/>
      <w:bookmarkStart w:id="50" w:name="_Toc33194393"/>
      <w:r>
        <w:rPr>
          <w:rFonts w:hint="eastAsia" w:ascii="宋体" w:hAnsi="宋体" w:eastAsia="宋体" w:cs="宋体"/>
          <w:b/>
          <w:color w:val="auto"/>
          <w:sz w:val="22"/>
          <w:szCs w:val="22"/>
          <w:highlight w:val="none"/>
        </w:rPr>
        <w:t>4、投标供应商资格审查</w:t>
      </w:r>
      <w:bookmarkEnd w:id="49"/>
      <w:bookmarkEnd w:id="50"/>
    </w:p>
    <w:p w14:paraId="39FC0C6D">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开标大会第一阶段结束后，采购人或采购代理机构首先依法对各投标供应商的资格进行审查，审查各投标供应商的资格是否满足采购文件的要求。采购人或采购代理机构对投标供应商所提交的资格证明材料仅负审核的责任。如发现投标供应商所提交的资格证明材料不合法或与事实不符，采购人可取消其中标资格并追究投标供应商的法律责任。</w:t>
      </w:r>
    </w:p>
    <w:p w14:paraId="47F7903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4.2投标供应商提交的资格证明材料无法证明其符合采购文件规定的“投标供应商资格要求”的，采购人或采购代理机构将对其作资格审查不通过处理（无效投标），并不再将其投标提交评标委员会进行后续评审。</w:t>
      </w:r>
    </w:p>
    <w:p w14:paraId="5D768B49">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4.3单位负责人为同一人或者存在直接控股、管理关系的不同供应商参加同一合同项下的采购活动的，相关投标供应商均作资格无效处理。</w:t>
      </w:r>
    </w:p>
    <w:p w14:paraId="5B4BEAF6">
      <w:pPr>
        <w:wordWrap w:val="0"/>
        <w:snapToGrid w:val="0"/>
        <w:spacing w:line="360" w:lineRule="auto"/>
        <w:ind w:firstLine="527"/>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二）评标</w:t>
      </w:r>
    </w:p>
    <w:p w14:paraId="4ECD2B4A">
      <w:pPr>
        <w:wordWrap w:val="0"/>
        <w:snapToGrid w:val="0"/>
        <w:spacing w:line="360" w:lineRule="auto"/>
        <w:ind w:firstLine="527"/>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2.1评标由采购人依法组建的评标委员会负责，并独立履行下列职责</w:t>
      </w:r>
      <w:r>
        <w:rPr>
          <w:rFonts w:hint="eastAsia" w:ascii="宋体" w:hAnsi="宋体" w:eastAsia="宋体" w:cs="宋体"/>
          <w:color w:val="auto"/>
          <w:sz w:val="22"/>
          <w:szCs w:val="22"/>
          <w:highlight w:val="none"/>
          <w:lang w:eastAsia="zh-CN"/>
        </w:rPr>
        <w:t>：</w:t>
      </w:r>
    </w:p>
    <w:p w14:paraId="6804796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1）审查投标文件是否符合采购文件要求，并作出评价；</w:t>
      </w:r>
    </w:p>
    <w:p w14:paraId="4E0B152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2）要求投标供应商对投标文件有关事项作出解释或者澄清；</w:t>
      </w:r>
    </w:p>
    <w:p w14:paraId="7B6D4744">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3）根据采购人授权确定中标供应商；</w:t>
      </w:r>
    </w:p>
    <w:p w14:paraId="74E3AA31">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4）向采购代理机构或者有关部门报告非法干预评标工作的行为。</w:t>
      </w:r>
    </w:p>
    <w:p w14:paraId="634BB918">
      <w:pPr>
        <w:wordWrap w:val="0"/>
        <w:snapToGrid w:val="0"/>
        <w:spacing w:line="360" w:lineRule="auto"/>
        <w:ind w:firstLine="431" w:firstLineChars="19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2.2、评标应当遵循下列工作程序</w:t>
      </w:r>
      <w:r>
        <w:rPr>
          <w:rFonts w:hint="eastAsia" w:ascii="宋体" w:hAnsi="宋体" w:eastAsia="宋体" w:cs="宋体"/>
          <w:color w:val="auto"/>
          <w:sz w:val="22"/>
          <w:szCs w:val="22"/>
          <w:highlight w:val="none"/>
          <w:lang w:eastAsia="zh-CN"/>
        </w:rPr>
        <w:t>：</w:t>
      </w:r>
    </w:p>
    <w:p w14:paraId="079C60A0">
      <w:pPr>
        <w:wordWrap w:val="0"/>
        <w:snapToGrid w:val="0"/>
        <w:spacing w:line="360" w:lineRule="auto"/>
        <w:rPr>
          <w:rFonts w:hint="eastAsia" w:ascii="宋体" w:hAnsi="宋体" w:eastAsia="宋体" w:cs="宋体"/>
          <w:b/>
          <w:color w:val="auto"/>
          <w:sz w:val="22"/>
          <w:szCs w:val="22"/>
          <w:highlight w:val="none"/>
          <w:u w:val="single"/>
        </w:rPr>
      </w:pPr>
      <w:r>
        <w:rPr>
          <w:rFonts w:hint="eastAsia" w:ascii="宋体" w:hAnsi="宋体" w:eastAsia="宋体" w:cs="宋体"/>
          <w:color w:val="auto"/>
          <w:sz w:val="22"/>
          <w:szCs w:val="22"/>
          <w:highlight w:val="none"/>
        </w:rPr>
        <w:t xml:space="preserve">    1）投标文件初审。初审分为资格性检查和符合性检查。</w:t>
      </w:r>
    </w:p>
    <w:p w14:paraId="3D0B6C38">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（1)资格性检查。依据法律法规和采购文件的规定，对投标文件中的投标供应商资格文件、投标保证金等进行审查，以确定投标供应商是否具备投标资格。</w:t>
      </w:r>
    </w:p>
    <w:p w14:paraId="647F0787">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（2)符合性检查。依据采购文件的规定，从投标文件的有效性、完整性和对采购文件的响应程度进行审查，以确定是否对采购文件的实质性要求作出响应。</w:t>
      </w:r>
    </w:p>
    <w:p w14:paraId="16E3D83B">
      <w:pPr>
        <w:wordWrap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2）澄清有关问题。对投标文件中含义不明确、同类问题表述不一致或者有明显文字和计算错误的内容，评标委员会可以书面形式要求供应商作出必要的澄清、说明或者纠正。供应商的澄清、说明或者补正应当采用书面形式，由其授权的代表签字，并不得超出投标文件的范围或者改变投标文件的实质性内容。</w:t>
      </w:r>
    </w:p>
    <w:p w14:paraId="33FF3C01">
      <w:pPr>
        <w:wordWrap w:val="0"/>
        <w:snapToGrid w:val="0"/>
        <w:spacing w:line="360" w:lineRule="auto"/>
        <w:ind w:firstLine="45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3）比较与评价。按采购文件中规定的评标方法和标准，对资格性检查和符合性检查合格的投标文件进行综合评估，综合比较与评价。</w:t>
      </w:r>
    </w:p>
    <w:p w14:paraId="75FE3548">
      <w:pPr>
        <w:pStyle w:val="14"/>
        <w:wordWrap w:val="0"/>
        <w:adjustRightInd w:val="0"/>
        <w:snapToGrid w:val="0"/>
        <w:spacing w:line="360" w:lineRule="auto"/>
        <w:ind w:firstLine="440" w:firstLineChars="200"/>
        <w:rPr>
          <w:rFonts w:hint="eastAsia" w:ascii="宋体" w:hAnsi="宋体" w:eastAsia="宋体" w:cs="宋体"/>
          <w:b/>
          <w:color w:val="auto"/>
          <w:sz w:val="22"/>
          <w:szCs w:val="22"/>
          <w:highlight w:val="none"/>
          <w:u w:val="single"/>
          <w:lang w:eastAsia="zh-CN"/>
        </w:rPr>
      </w:pPr>
      <w:r>
        <w:rPr>
          <w:rFonts w:hint="eastAsia" w:ascii="宋体" w:hAnsi="宋体" w:eastAsia="宋体" w:cs="宋体"/>
          <w:color w:val="auto"/>
          <w:sz w:val="22"/>
          <w:szCs w:val="22"/>
          <w:highlight w:val="none"/>
        </w:rPr>
        <w:t>2.4、</w:t>
      </w:r>
      <w:r>
        <w:rPr>
          <w:rFonts w:hint="eastAsia" w:ascii="宋体" w:hAnsi="宋体" w:eastAsia="宋体" w:cs="宋体"/>
          <w:b/>
          <w:color w:val="auto"/>
          <w:sz w:val="22"/>
          <w:szCs w:val="22"/>
          <w:highlight w:val="none"/>
          <w:u w:val="single"/>
        </w:rPr>
        <w:t>评标委员会发现投标文件有下列情形之一的属于重大偏差(评标委员会按少数服从多数原则认定),按照无效投标处理</w:t>
      </w:r>
      <w:r>
        <w:rPr>
          <w:rFonts w:hint="eastAsia" w:ascii="宋体" w:hAnsi="宋体" w:eastAsia="宋体" w:cs="宋体"/>
          <w:b/>
          <w:color w:val="auto"/>
          <w:sz w:val="22"/>
          <w:szCs w:val="22"/>
          <w:highlight w:val="none"/>
          <w:u w:val="single"/>
          <w:lang w:eastAsia="zh-CN"/>
        </w:rPr>
        <w:t>：</w:t>
      </w:r>
    </w:p>
    <w:p w14:paraId="03CDB050">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1）未按采购文件要求编制或字迹模糊、辨认不清的投标文件；</w:t>
      </w:r>
    </w:p>
    <w:p w14:paraId="51AEE4C0">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2）投标文件存在一个或一个以上备选（替代）投标方案的；仅提交“备份投标文件”的；</w:t>
      </w:r>
    </w:p>
    <w:p w14:paraId="79F8BAD5">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3）没有按采购文件格式要求加盖有效公章、无法定代表人（或授权代表）签字或印章（具体格式见采购文件附件—投标文件格式）；</w:t>
      </w:r>
    </w:p>
    <w:p w14:paraId="08FE7D5E">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4）投标文件未有效授权，法定代表人授权委托书等填写不完整或有涂改的；</w:t>
      </w:r>
    </w:p>
    <w:p w14:paraId="4F2C4B85">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5）供应商商务技术投标文件中出现投标报价；</w:t>
      </w:r>
    </w:p>
    <w:p w14:paraId="399ECA96">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6）文件组成内容不齐全，本采购文件规定必须提供而未提供的（属于资格审查范围的除外）；明显不符合要求的投标文件；</w:t>
      </w:r>
    </w:p>
    <w:p w14:paraId="14B22409">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7）付款方式、服务期出现负偏差的；</w:t>
      </w:r>
    </w:p>
    <w:p w14:paraId="7E6E5AEF">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8）投标文件附有采购人不能接受的条款；</w:t>
      </w:r>
    </w:p>
    <w:p w14:paraId="5B193109">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9）不符合采购文件中规定的实质性要求的投标文件，是否为偏离实质性要求由评标委员会认定。</w:t>
      </w:r>
    </w:p>
    <w:p w14:paraId="3899CD6B">
      <w:pPr>
        <w:pStyle w:val="14"/>
        <w:wordWrap w:val="0"/>
        <w:adjustRightInd w:val="0"/>
        <w:snapToGrid w:val="0"/>
        <w:spacing w:line="360" w:lineRule="auto"/>
        <w:ind w:firstLine="431" w:firstLineChars="196"/>
        <w:rPr>
          <w:rFonts w:hint="eastAsia" w:ascii="宋体" w:hAnsi="宋体" w:eastAsia="宋体" w:cs="宋体"/>
          <w:color w:val="auto"/>
          <w:highlight w:val="none"/>
        </w:rPr>
      </w:pPr>
      <w:r>
        <w:rPr>
          <w:rFonts w:hint="eastAsia" w:ascii="宋体" w:hAnsi="宋体" w:eastAsia="宋体" w:cs="宋体"/>
          <w:color w:val="auto"/>
          <w:sz w:val="22"/>
          <w:szCs w:val="22"/>
          <w:highlight w:val="none"/>
        </w:rPr>
        <w:t>10）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14:paraId="73DDA2BB">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11）有下列情形之一的，视为投标供应商串通投标，其投标无效</w:t>
      </w:r>
      <w:r>
        <w:rPr>
          <w:rFonts w:hint="eastAsia" w:ascii="宋体" w:hAnsi="宋体" w:eastAsia="宋体" w:cs="宋体"/>
          <w:color w:val="auto"/>
          <w:sz w:val="22"/>
          <w:szCs w:val="22"/>
          <w:highlight w:val="none"/>
          <w:lang w:eastAsia="zh-CN"/>
        </w:rPr>
        <w:t>：</w:t>
      </w:r>
    </w:p>
    <w:p w14:paraId="29E08ADD">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（一）不同投标供应商的投标文件由同一单位或者个人编制；</w:t>
      </w:r>
    </w:p>
    <w:p w14:paraId="45F7547C">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（二）不同投标供应商委托同一单位或者个人办理投标事宜；</w:t>
      </w:r>
    </w:p>
    <w:p w14:paraId="0D23A2A7">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（三）不同投标供应商的投标文件载明的项目管理成员或者联系人员为同一人；</w:t>
      </w:r>
    </w:p>
    <w:p w14:paraId="66DDFDB5">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（四）不同投标供应商的投标文件异常一致或者投标报价呈规律性差异；</w:t>
      </w:r>
    </w:p>
    <w:p w14:paraId="744B55F1">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（五）不同投标供应商的投标文件相互混装；　　</w:t>
      </w:r>
    </w:p>
    <w:p w14:paraId="587AC001">
      <w:pPr>
        <w:pStyle w:val="14"/>
        <w:wordWrap w:val="0"/>
        <w:adjustRightInd w:val="0"/>
        <w:snapToGrid w:val="0"/>
        <w:spacing w:line="360" w:lineRule="auto"/>
        <w:ind w:firstLine="431" w:firstLineChars="196"/>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12）其他经评标委员会认定的未能在实质上响应的或违反国家有关规定的投标文件。</w:t>
      </w:r>
    </w:p>
    <w:p w14:paraId="4B96B9F8">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2.5、实质上没有响应采购文件要求的投标将被拒绝。供应商不得通过修正或撤消不合要求的偏离从而使其投标成为实质上响应的投标。</w:t>
      </w:r>
    </w:p>
    <w:p w14:paraId="6876D252">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2.6、评标委员会对投标文件的判定，只依据投标内容本身，不依靠开标后的任何外来证明。</w:t>
      </w:r>
    </w:p>
    <w:p w14:paraId="56DAC80B">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2.7、评标委员会在评标中，不得改变采购文件中规定的评标标准、方法和中标条件。</w:t>
      </w:r>
    </w:p>
    <w:p w14:paraId="12BC4806">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3.投标文件的澄清</w:t>
      </w:r>
    </w:p>
    <w:p w14:paraId="1C62D8BC">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3.1对于投标文件中含义不明确、同类问题表述不一致或者有明显文字和计算错误的内容，评标委员会将以书面形式（或通过“乐采云平台”在线询标）的形式要求投标供应商在规定的时间内作出必要的澄清、说明或者补正，投标供应商澄清、说明或补正时间为30分钟。</w:t>
      </w:r>
    </w:p>
    <w:p w14:paraId="0113F6E4">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3.2投标供应商的澄清、说明或者补正应当采用书面（或通过“乐采云平台”在线答复）形式提交，并加盖公章，或者由法定代表人或其授权的代表签字。投标供应商的澄清、说明或者补正不得超出投标文件的范围或者改变投标文件的实质性内容。</w:t>
      </w:r>
    </w:p>
    <w:p w14:paraId="4C4CFE2B">
      <w:pPr>
        <w:wordWrap w:val="0"/>
        <w:adjustRightInd w:val="0"/>
        <w:snapToGrid w:val="0"/>
        <w:spacing w:line="360" w:lineRule="auto"/>
        <w:ind w:firstLine="442" w:firstLineChars="200"/>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rPr>
        <w:t>4、在采购中，出现下列情形之一的，应予废标</w:t>
      </w:r>
      <w:r>
        <w:rPr>
          <w:rFonts w:hint="eastAsia" w:ascii="宋体" w:hAnsi="宋体" w:eastAsia="宋体" w:cs="宋体"/>
          <w:b/>
          <w:color w:val="auto"/>
          <w:sz w:val="22"/>
          <w:szCs w:val="22"/>
          <w:highlight w:val="none"/>
          <w:lang w:eastAsia="zh-CN"/>
        </w:rPr>
        <w:t>：</w:t>
      </w:r>
    </w:p>
    <w:p w14:paraId="2A96AE72">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(1)截止时间及评审期间，出现有效供应商不足三家的，作流（废）标处理，并重新组织招标。    (2)出现影响采购公正的违法、违规行为的；</w:t>
      </w:r>
    </w:p>
    <w:p w14:paraId="45CFEC24">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(3)报价均超过预算，不能支付的；</w:t>
      </w:r>
    </w:p>
    <w:p w14:paraId="57ED1CCD">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(4)因重大变故，采购任务取消的。</w:t>
      </w:r>
    </w:p>
    <w:p w14:paraId="53A88B68">
      <w:pPr>
        <w:wordWrap w:val="0"/>
        <w:adjustRightInd w:val="0"/>
        <w:snapToGrid w:val="0"/>
        <w:spacing w:line="360" w:lineRule="auto"/>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5、可中止电子交易活动的情形</w:t>
      </w:r>
    </w:p>
    <w:p w14:paraId="4CCD4F6F">
      <w:pPr>
        <w:wordWrap w:val="0"/>
        <w:adjustRightInd w:val="0"/>
        <w:snapToGrid w:val="0"/>
        <w:spacing w:line="360" w:lineRule="auto"/>
        <w:ind w:firstLine="442" w:firstLineChars="200"/>
        <w:rPr>
          <w:rFonts w:hint="eastAsia" w:ascii="宋体" w:hAnsi="宋体" w:eastAsia="宋体" w:cs="宋体"/>
          <w:b/>
          <w:color w:val="auto"/>
          <w:sz w:val="22"/>
          <w:szCs w:val="22"/>
          <w:highlight w:val="none"/>
          <w:lang w:eastAsia="zh-CN"/>
        </w:rPr>
      </w:pPr>
      <w:r>
        <w:rPr>
          <w:rFonts w:hint="eastAsia" w:ascii="宋体" w:hAnsi="宋体" w:eastAsia="宋体" w:cs="宋体"/>
          <w:b/>
          <w:color w:val="auto"/>
          <w:sz w:val="22"/>
          <w:szCs w:val="22"/>
          <w:highlight w:val="none"/>
        </w:rPr>
        <w:t>采购过程中出现以下情形，导致电子交易平台无法正常运行，或者无法保证电子交易的公平、公正和安全时，采购组织机构可中止电子交易活动</w:t>
      </w:r>
      <w:r>
        <w:rPr>
          <w:rFonts w:hint="eastAsia" w:ascii="宋体" w:hAnsi="宋体" w:eastAsia="宋体" w:cs="宋体"/>
          <w:b/>
          <w:color w:val="auto"/>
          <w:sz w:val="22"/>
          <w:szCs w:val="22"/>
          <w:highlight w:val="none"/>
          <w:lang w:eastAsia="zh-CN"/>
        </w:rPr>
        <w:t>：</w:t>
      </w:r>
    </w:p>
    <w:p w14:paraId="49BA846E">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1）电子交易平台发生故障而无法登录访问的；</w:t>
      </w:r>
    </w:p>
    <w:p w14:paraId="2871E917">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2）电子交易平台应用或数据库出现错误，不能进行正常操作的；</w:t>
      </w:r>
    </w:p>
    <w:p w14:paraId="3D5A3D10">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3）电子交易平台发现严重安全漏洞，有潜在泄密危险的；</w:t>
      </w:r>
    </w:p>
    <w:p w14:paraId="3BE7F490">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4）病毒发作导致不能进行正常操作的；</w:t>
      </w:r>
    </w:p>
    <w:p w14:paraId="54E50237">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5）其他无法保证电子交易的公平、公正和安全的情况。</w:t>
      </w:r>
    </w:p>
    <w:p w14:paraId="009AD175">
      <w:pPr>
        <w:wordWrap w:val="0"/>
        <w:adjustRightInd w:val="0"/>
        <w:snapToGrid w:val="0"/>
        <w:spacing w:line="360" w:lineRule="auto"/>
        <w:ind w:firstLine="442" w:firstLineChars="200"/>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出现前款规定情形，不影响采购公平、公正性的，采购组织机构可以待上述情形消除后继续组织电子交易活动；影响或可能影响采购公平、公正性的，应当重新采购。</w:t>
      </w:r>
    </w:p>
    <w:p w14:paraId="61E76294">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6、评标原则</w:t>
      </w:r>
    </w:p>
    <w:p w14:paraId="1B7555C5">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评标委员会按照采购文件的要求和条件对投标文件进行资格、商务和技术评估，综合比较与评价。</w:t>
      </w:r>
    </w:p>
    <w:p w14:paraId="1389A565">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评标办法具体见本采购文件第七部分。</w:t>
      </w:r>
    </w:p>
    <w:p w14:paraId="6FE215D3">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7、评标过程中遇到特殊情况，由评标委员会遵循公开、公正原则，采取投票方式按照少数服从多数原则决定。</w:t>
      </w:r>
    </w:p>
    <w:p w14:paraId="3BCF481E">
      <w:pPr>
        <w:wordWrap w:val="0"/>
        <w:snapToGrid w:val="0"/>
        <w:spacing w:line="360" w:lineRule="auto"/>
        <w:ind w:firstLine="527"/>
        <w:outlineLvl w:val="1"/>
        <w:rPr>
          <w:rFonts w:hint="eastAsia" w:ascii="宋体" w:hAnsi="宋体" w:eastAsia="宋体" w:cs="宋体"/>
          <w:color w:val="auto"/>
          <w:sz w:val="22"/>
          <w:szCs w:val="22"/>
          <w:highlight w:val="none"/>
        </w:rPr>
      </w:pPr>
      <w:bookmarkStart w:id="51" w:name="_Toc67"/>
      <w:bookmarkStart w:id="52" w:name="_Toc9343"/>
      <w:r>
        <w:rPr>
          <w:rFonts w:hint="eastAsia" w:ascii="宋体" w:hAnsi="宋体" w:eastAsia="宋体" w:cs="宋体"/>
          <w:color w:val="auto"/>
          <w:sz w:val="22"/>
          <w:szCs w:val="22"/>
          <w:highlight w:val="none"/>
        </w:rPr>
        <w:t>七、授予合同</w:t>
      </w:r>
      <w:bookmarkEnd w:id="51"/>
      <w:bookmarkEnd w:id="52"/>
    </w:p>
    <w:p w14:paraId="2F348E1C">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1、决标</w:t>
      </w:r>
    </w:p>
    <w:p w14:paraId="660ADADB">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评标结束后，评标委员会按照采购文件确定的评标办法，根据采购人授权确定中标供应商。</w:t>
      </w:r>
    </w:p>
    <w:p w14:paraId="0C27A244">
      <w:pPr>
        <w:wordWrap w:val="0"/>
        <w:snapToGrid w:val="0"/>
        <w:spacing w:line="360" w:lineRule="auto"/>
        <w:ind w:firstLine="545" w:firstLineChars="248"/>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2、中标通知书</w:t>
      </w:r>
    </w:p>
    <w:p w14:paraId="3DCFAE20">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2.1、招标机构</w:t>
      </w:r>
      <w:r>
        <w:rPr>
          <w:rFonts w:hint="eastAsia" w:ascii="宋体" w:hAnsi="宋体" w:eastAsia="宋体" w:cs="宋体"/>
          <w:color w:val="auto"/>
          <w:spacing w:val="10"/>
          <w:sz w:val="22"/>
          <w:szCs w:val="22"/>
          <w:highlight w:val="none"/>
        </w:rPr>
        <w:t>在浙江省政府采购网上公告中标结果。</w:t>
      </w:r>
    </w:p>
    <w:p w14:paraId="5A636DDF">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2.2、中标供应商须在中标结果公告后主动联系采购机构领取中标通知书，供应商领取中标通知书时，须填写签收回执；中标通知书对采购人和中标供应商具有法律约束力。中标通知书发出后，采购人改变中标结果或者中标供应商放弃中标的，应当承担法律责任。</w:t>
      </w:r>
    </w:p>
    <w:p w14:paraId="781009DA">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3、评标委员会对未中标的供应商不作落标原因解释。</w:t>
      </w:r>
    </w:p>
    <w:p w14:paraId="14EA996D">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4、签订合同</w:t>
      </w:r>
    </w:p>
    <w:p w14:paraId="6EECA687">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4.1、中标供应商领取中标通知书后到采购人处与采购人签订合同（采购结果公告发出后30日内）。中标供应商未经采购人许可，在规定时间内未到采购人处与采购人签订合同，则视为拒签合同。</w:t>
      </w:r>
    </w:p>
    <w:p w14:paraId="1E8445E4">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4.2、采购文件、中标供应商的投标文件及投标修改文件、评标过程中有关澄清文件及经双方签字的询标纪要（承诺）和中标通知书均作为合同附件。</w:t>
      </w:r>
    </w:p>
    <w:p w14:paraId="6068C713">
      <w:pPr>
        <w:wordWrap w:val="0"/>
        <w:snapToGrid w:val="0"/>
        <w:spacing w:line="360" w:lineRule="auto"/>
        <w:ind w:firstLine="527"/>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4.3 拒签合同的责任</w:t>
      </w:r>
    </w:p>
    <w:p w14:paraId="40AE226A">
      <w:pPr>
        <w:pStyle w:val="14"/>
        <w:wordWrap w:val="0"/>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供应商接到中标通知书后，在规定时间内借故否认已经承诺的条件而拒签合同，以投标违约处理，并赔偿采购人由此造成的直接经济损失；采购人重新组织招标的，所需费用由原中标供应商承担。采购人无故不与供应商签订合同的应当承担相应的法律责任。</w:t>
      </w:r>
    </w:p>
    <w:p w14:paraId="35F241D3">
      <w:pPr>
        <w:pStyle w:val="14"/>
        <w:wordWrap w:val="0"/>
        <w:adjustRightInd w:val="0"/>
        <w:snapToGrid w:val="0"/>
        <w:spacing w:line="360" w:lineRule="auto"/>
        <w:rPr>
          <w:rFonts w:hint="eastAsia" w:ascii="宋体"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八、采购代理费</w:t>
      </w:r>
    </w:p>
    <w:p w14:paraId="177FBCF7">
      <w:pPr>
        <w:pStyle w:val="14"/>
        <w:wordWrap w:val="0"/>
        <w:adjustRightInd w:val="0"/>
        <w:snapToGrid w:val="0"/>
        <w:spacing w:line="360" w:lineRule="auto"/>
        <w:ind w:firstLine="440" w:firstLineChars="200"/>
        <w:rPr>
          <w:rFonts w:hint="eastAsia" w:hAnsi="宋体" w:cs="宋体"/>
          <w:color w:val="auto"/>
          <w:sz w:val="22"/>
          <w:szCs w:val="22"/>
          <w:highlight w:val="none"/>
          <w:lang w:val="en-US" w:eastAsia="zh-CN"/>
        </w:rPr>
      </w:pPr>
      <w:r>
        <w:rPr>
          <w:rFonts w:hint="eastAsia" w:ascii="宋体" w:hAnsi="宋体" w:cs="宋体"/>
          <w:color w:val="auto"/>
          <w:sz w:val="22"/>
          <w:szCs w:val="22"/>
          <w:highlight w:val="none"/>
          <w:lang w:val="en-US" w:eastAsia="zh-CN"/>
        </w:rPr>
        <w:t>本项目采购代理费共2</w:t>
      </w:r>
      <w:r>
        <w:rPr>
          <w:rFonts w:hint="eastAsia" w:hAnsi="宋体" w:cs="宋体"/>
          <w:color w:val="auto"/>
          <w:sz w:val="22"/>
          <w:szCs w:val="22"/>
          <w:highlight w:val="none"/>
          <w:lang w:val="en-US" w:eastAsia="zh-CN"/>
        </w:rPr>
        <w:t>0000</w:t>
      </w:r>
      <w:r>
        <w:rPr>
          <w:rFonts w:hint="eastAsia" w:ascii="宋体" w:hAnsi="宋体" w:cs="宋体"/>
          <w:color w:val="auto"/>
          <w:sz w:val="22"/>
          <w:szCs w:val="22"/>
          <w:highlight w:val="none"/>
          <w:lang w:val="en-US" w:eastAsia="zh-CN"/>
        </w:rPr>
        <w:t>元人民币，由采购人支付</w:t>
      </w:r>
      <w:r>
        <w:rPr>
          <w:rFonts w:hint="eastAsia" w:hAnsi="宋体" w:cs="宋体"/>
          <w:color w:val="auto"/>
          <w:sz w:val="22"/>
          <w:szCs w:val="22"/>
          <w:highlight w:val="none"/>
          <w:lang w:val="en-US" w:eastAsia="zh-CN"/>
        </w:rPr>
        <w:t>，</w:t>
      </w:r>
      <w:r>
        <w:rPr>
          <w:rFonts w:hint="eastAsia" w:ascii="宋体" w:hAnsi="宋体" w:cs="宋体"/>
          <w:color w:val="auto"/>
          <w:sz w:val="22"/>
          <w:szCs w:val="22"/>
          <w:highlight w:val="none"/>
          <w:lang w:val="en-US" w:eastAsia="zh-CN"/>
        </w:rPr>
        <w:t>无需中标供应商支付。</w:t>
      </w:r>
    </w:p>
    <w:p w14:paraId="116E1A04">
      <w:pPr>
        <w:pStyle w:val="14"/>
        <w:wordWrap w:val="0"/>
        <w:adjustRightInd w:val="0"/>
        <w:snapToGrid w:val="0"/>
        <w:spacing w:line="360" w:lineRule="auto"/>
        <w:rPr>
          <w:rFonts w:hint="eastAsia" w:ascii="宋体" w:hAnsi="宋体" w:eastAsia="宋体" w:cs="宋体"/>
          <w:color w:val="auto"/>
          <w:sz w:val="22"/>
          <w:szCs w:val="22"/>
          <w:highlight w:val="none"/>
        </w:rPr>
      </w:pPr>
      <w:bookmarkStart w:id="53" w:name="_Toc32120"/>
      <w:r>
        <w:rPr>
          <w:rFonts w:hint="eastAsia" w:ascii="宋体" w:hAnsi="宋体" w:eastAsia="宋体" w:cs="宋体"/>
          <w:color w:val="auto"/>
          <w:sz w:val="22"/>
          <w:szCs w:val="22"/>
          <w:highlight w:val="none"/>
        </w:rPr>
        <w:br w:type="page"/>
      </w:r>
    </w:p>
    <w:p w14:paraId="3A2A33BF">
      <w:pPr>
        <w:pStyle w:val="10"/>
        <w:wordWrap w:val="0"/>
        <w:spacing w:after="0" w:line="360" w:lineRule="auto"/>
        <w:ind w:firstLine="360"/>
        <w:jc w:val="center"/>
        <w:outlineLvl w:val="0"/>
        <w:rPr>
          <w:rFonts w:hint="eastAsia" w:ascii="宋体" w:hAnsi="宋体" w:eastAsia="宋体" w:cs="宋体"/>
          <w:color w:val="auto"/>
          <w:sz w:val="36"/>
          <w:highlight w:val="none"/>
        </w:rPr>
      </w:pPr>
      <w:r>
        <w:rPr>
          <w:rFonts w:hint="eastAsia" w:ascii="宋体" w:hAnsi="宋体" w:eastAsia="宋体" w:cs="宋体"/>
          <w:color w:val="auto"/>
          <w:sz w:val="36"/>
          <w:highlight w:val="none"/>
        </w:rPr>
        <w:t>第</w:t>
      </w:r>
      <w:r>
        <w:rPr>
          <w:rFonts w:hint="eastAsia" w:ascii="宋体" w:hAnsi="宋体" w:eastAsia="宋体" w:cs="宋体"/>
          <w:color w:val="auto"/>
          <w:sz w:val="36"/>
          <w:highlight w:val="none"/>
          <w:lang w:val="en-US" w:eastAsia="zh-CN"/>
        </w:rPr>
        <w:t>四</w:t>
      </w:r>
      <w:r>
        <w:rPr>
          <w:rFonts w:hint="eastAsia" w:ascii="宋体" w:hAnsi="宋体" w:eastAsia="宋体" w:cs="宋体"/>
          <w:color w:val="auto"/>
          <w:sz w:val="36"/>
          <w:highlight w:val="none"/>
        </w:rPr>
        <w:t>部分 合同格式（仅供参考）</w:t>
      </w:r>
      <w:bookmarkEnd w:id="53"/>
    </w:p>
    <w:p w14:paraId="4A3186F1">
      <w:pPr>
        <w:widowControl/>
        <w:wordWrap w:val="0"/>
        <w:jc w:val="center"/>
        <w:rPr>
          <w:rFonts w:hint="eastAsia" w:ascii="宋体" w:hAnsi="宋体" w:eastAsia="宋体" w:cs="宋体"/>
          <w:b/>
          <w:color w:val="auto"/>
          <w:kern w:val="0"/>
          <w:sz w:val="48"/>
          <w:szCs w:val="48"/>
        </w:rPr>
      </w:pPr>
      <w:bookmarkStart w:id="54" w:name="_Toc3480"/>
    </w:p>
    <w:p w14:paraId="61E6700A">
      <w:pPr>
        <w:widowControl/>
        <w:wordWrap w:val="0"/>
        <w:jc w:val="center"/>
        <w:rPr>
          <w:rFonts w:hint="eastAsia" w:ascii="宋体" w:hAnsi="宋体" w:eastAsia="宋体" w:cs="宋体"/>
          <w:b/>
          <w:color w:val="auto"/>
          <w:kern w:val="0"/>
          <w:sz w:val="48"/>
          <w:szCs w:val="48"/>
        </w:rPr>
      </w:pPr>
    </w:p>
    <w:p w14:paraId="0255E9D8">
      <w:pPr>
        <w:widowControl/>
        <w:wordWrap w:val="0"/>
        <w:jc w:val="center"/>
        <w:rPr>
          <w:rFonts w:hint="eastAsia" w:ascii="宋体" w:hAnsi="宋体" w:eastAsia="宋体" w:cs="宋体"/>
          <w:b/>
          <w:color w:val="auto"/>
          <w:kern w:val="0"/>
          <w:sz w:val="48"/>
          <w:szCs w:val="48"/>
        </w:rPr>
      </w:pPr>
    </w:p>
    <w:p w14:paraId="402CA841">
      <w:pPr>
        <w:widowControl/>
        <w:wordWrap w:val="0"/>
        <w:jc w:val="center"/>
        <w:rPr>
          <w:rFonts w:hint="eastAsia" w:ascii="宋体" w:hAnsi="宋体" w:eastAsia="宋体" w:cs="宋体"/>
          <w:b/>
          <w:color w:val="auto"/>
          <w:kern w:val="0"/>
          <w:sz w:val="48"/>
          <w:szCs w:val="48"/>
        </w:rPr>
      </w:pPr>
      <w:r>
        <w:rPr>
          <w:rFonts w:hint="eastAsia" w:ascii="宋体" w:hAnsi="宋体" w:eastAsia="宋体" w:cs="宋体"/>
          <w:b/>
          <w:color w:val="auto"/>
          <w:kern w:val="0"/>
          <w:sz w:val="48"/>
          <w:szCs w:val="48"/>
        </w:rPr>
        <w:t>液化天然气供用气合同</w:t>
      </w:r>
    </w:p>
    <w:p w14:paraId="2A62B29C">
      <w:pPr>
        <w:widowControl/>
        <w:wordWrap w:val="0"/>
        <w:jc w:val="center"/>
        <w:rPr>
          <w:rFonts w:hint="eastAsia" w:ascii="宋体" w:hAnsi="宋体" w:eastAsia="宋体" w:cs="宋体"/>
          <w:color w:val="auto"/>
          <w:kern w:val="0"/>
          <w:sz w:val="20"/>
          <w:szCs w:val="20"/>
        </w:rPr>
      </w:pPr>
    </w:p>
    <w:p w14:paraId="5DFF2CE7">
      <w:pPr>
        <w:widowControl/>
        <w:wordWrap w:val="0"/>
        <w:jc w:val="left"/>
        <w:rPr>
          <w:rFonts w:hint="eastAsia" w:ascii="宋体" w:hAnsi="宋体" w:eastAsia="宋体" w:cs="宋体"/>
          <w:color w:val="auto"/>
          <w:kern w:val="0"/>
          <w:sz w:val="20"/>
          <w:szCs w:val="20"/>
        </w:rPr>
      </w:pPr>
    </w:p>
    <w:p w14:paraId="68A2D45F">
      <w:pPr>
        <w:widowControl/>
        <w:wordWrap w:val="0"/>
        <w:jc w:val="left"/>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 xml:space="preserve"> </w:t>
      </w:r>
    </w:p>
    <w:p w14:paraId="0A5818E9">
      <w:pPr>
        <w:widowControl/>
        <w:wordWrap w:val="0"/>
        <w:jc w:val="left"/>
        <w:rPr>
          <w:rFonts w:hint="eastAsia" w:ascii="宋体" w:hAnsi="宋体" w:eastAsia="宋体" w:cs="宋体"/>
          <w:color w:val="auto"/>
          <w:kern w:val="0"/>
          <w:sz w:val="20"/>
          <w:szCs w:val="20"/>
        </w:rPr>
      </w:pPr>
    </w:p>
    <w:p w14:paraId="397AB5B9">
      <w:pPr>
        <w:widowControl/>
        <w:wordWrap w:val="0"/>
        <w:jc w:val="left"/>
        <w:rPr>
          <w:rFonts w:hint="eastAsia" w:ascii="宋体" w:hAnsi="宋体" w:eastAsia="宋体" w:cs="宋体"/>
          <w:color w:val="auto"/>
          <w:kern w:val="0"/>
          <w:sz w:val="20"/>
          <w:szCs w:val="20"/>
        </w:rPr>
      </w:pPr>
    </w:p>
    <w:p w14:paraId="27FD8C29">
      <w:pPr>
        <w:widowControl/>
        <w:wordWrap w:val="0"/>
        <w:jc w:val="left"/>
        <w:rPr>
          <w:rFonts w:hint="eastAsia" w:ascii="宋体" w:hAnsi="宋体" w:eastAsia="宋体" w:cs="宋体"/>
          <w:color w:val="auto"/>
          <w:kern w:val="0"/>
          <w:sz w:val="20"/>
          <w:szCs w:val="20"/>
        </w:rPr>
      </w:pPr>
    </w:p>
    <w:p w14:paraId="2AEE52B2">
      <w:pPr>
        <w:widowControl/>
        <w:wordWrap w:val="0"/>
        <w:jc w:val="left"/>
        <w:rPr>
          <w:rFonts w:hint="eastAsia" w:ascii="宋体" w:hAnsi="宋体" w:eastAsia="宋体" w:cs="宋体"/>
          <w:color w:val="auto"/>
          <w:kern w:val="0"/>
          <w:sz w:val="20"/>
          <w:szCs w:val="20"/>
        </w:rPr>
      </w:pPr>
    </w:p>
    <w:p w14:paraId="7DACB7B0">
      <w:pPr>
        <w:widowControl/>
        <w:wordWrap w:val="0"/>
        <w:jc w:val="left"/>
        <w:rPr>
          <w:rFonts w:hint="eastAsia" w:ascii="宋体" w:hAnsi="宋体" w:eastAsia="宋体" w:cs="宋体"/>
          <w:color w:val="auto"/>
          <w:kern w:val="0"/>
          <w:sz w:val="20"/>
          <w:szCs w:val="20"/>
        </w:rPr>
      </w:pPr>
    </w:p>
    <w:p w14:paraId="1BF5DF1E">
      <w:pPr>
        <w:widowControl/>
        <w:wordWrap w:val="0"/>
        <w:jc w:val="left"/>
        <w:rPr>
          <w:rFonts w:hint="eastAsia" w:ascii="宋体" w:hAnsi="宋体" w:eastAsia="宋体" w:cs="宋体"/>
          <w:color w:val="auto"/>
          <w:kern w:val="0"/>
          <w:sz w:val="20"/>
          <w:szCs w:val="20"/>
        </w:rPr>
      </w:pPr>
    </w:p>
    <w:p w14:paraId="6672E581">
      <w:pPr>
        <w:widowControl/>
        <w:wordWrap w:val="0"/>
        <w:jc w:val="left"/>
        <w:rPr>
          <w:rFonts w:hint="eastAsia" w:ascii="宋体" w:hAnsi="宋体" w:eastAsia="宋体" w:cs="宋体"/>
          <w:color w:val="auto"/>
          <w:kern w:val="0"/>
          <w:sz w:val="20"/>
          <w:szCs w:val="20"/>
        </w:rPr>
      </w:pPr>
    </w:p>
    <w:p w14:paraId="5E301356">
      <w:pPr>
        <w:widowControl/>
        <w:wordWrap w:val="0"/>
        <w:jc w:val="left"/>
        <w:rPr>
          <w:rFonts w:hint="eastAsia" w:ascii="宋体" w:hAnsi="宋体" w:eastAsia="宋体" w:cs="宋体"/>
          <w:color w:val="auto"/>
          <w:kern w:val="0"/>
          <w:sz w:val="20"/>
          <w:szCs w:val="20"/>
        </w:rPr>
      </w:pPr>
    </w:p>
    <w:p w14:paraId="1DDE4B2B">
      <w:pPr>
        <w:widowControl/>
        <w:wordWrap w:val="0"/>
        <w:jc w:val="left"/>
        <w:rPr>
          <w:rFonts w:hint="eastAsia" w:ascii="宋体" w:hAnsi="宋体" w:eastAsia="宋体" w:cs="宋体"/>
          <w:b/>
          <w:color w:val="auto"/>
          <w:kern w:val="0"/>
          <w:sz w:val="24"/>
          <w:szCs w:val="24"/>
        </w:rPr>
      </w:pPr>
    </w:p>
    <w:p w14:paraId="7E1EBBEE">
      <w:pPr>
        <w:widowControl/>
        <w:wordWrap w:val="0"/>
        <w:jc w:val="center"/>
        <w:rPr>
          <w:rFonts w:hint="eastAsia" w:ascii="宋体" w:hAnsi="宋体" w:eastAsia="宋体" w:cs="宋体"/>
          <w:b/>
          <w:color w:val="auto"/>
          <w:kern w:val="0"/>
          <w:sz w:val="24"/>
          <w:szCs w:val="24"/>
        </w:rPr>
      </w:pPr>
    </w:p>
    <w:p w14:paraId="421ED9D6">
      <w:pPr>
        <w:widowControl/>
        <w:wordWrap w:val="0"/>
        <w:jc w:val="center"/>
        <w:rPr>
          <w:rFonts w:hint="eastAsia" w:ascii="宋体" w:hAnsi="宋体" w:eastAsia="宋体" w:cs="宋体"/>
          <w:b/>
          <w:color w:val="auto"/>
          <w:kern w:val="0"/>
          <w:sz w:val="24"/>
          <w:szCs w:val="24"/>
        </w:rPr>
      </w:pPr>
    </w:p>
    <w:p w14:paraId="5356F7FB">
      <w:pPr>
        <w:widowControl/>
        <w:wordWrap w:val="0"/>
        <w:jc w:val="center"/>
        <w:rPr>
          <w:rFonts w:hint="eastAsia" w:ascii="宋体" w:hAnsi="宋体" w:eastAsia="宋体" w:cs="宋体"/>
          <w:b/>
          <w:color w:val="auto"/>
          <w:kern w:val="0"/>
          <w:sz w:val="24"/>
          <w:szCs w:val="24"/>
        </w:rPr>
      </w:pPr>
    </w:p>
    <w:p w14:paraId="1C2E055D">
      <w:pPr>
        <w:widowControl/>
        <w:wordWrap w:val="0"/>
        <w:jc w:val="center"/>
        <w:rPr>
          <w:rFonts w:hint="eastAsia" w:ascii="宋体" w:hAnsi="宋体" w:eastAsia="宋体" w:cs="宋体"/>
          <w:b/>
          <w:color w:val="auto"/>
          <w:kern w:val="0"/>
          <w:sz w:val="24"/>
          <w:szCs w:val="24"/>
        </w:rPr>
      </w:pPr>
    </w:p>
    <w:p w14:paraId="00EB25A2">
      <w:pPr>
        <w:widowControl/>
        <w:wordWrap w:val="0"/>
        <w:jc w:val="center"/>
        <w:rPr>
          <w:rFonts w:hint="eastAsia" w:ascii="宋体" w:hAnsi="宋体" w:eastAsia="宋体" w:cs="宋体"/>
          <w:b/>
          <w:color w:val="auto"/>
          <w:kern w:val="0"/>
          <w:sz w:val="24"/>
          <w:szCs w:val="24"/>
        </w:rPr>
      </w:pPr>
    </w:p>
    <w:p w14:paraId="079FE206">
      <w:pPr>
        <w:widowControl/>
        <w:wordWrap w:val="0"/>
        <w:jc w:val="center"/>
        <w:rPr>
          <w:rFonts w:hint="eastAsia" w:ascii="宋体" w:hAnsi="宋体" w:eastAsia="宋体" w:cs="宋体"/>
          <w:b/>
          <w:color w:val="auto"/>
          <w:kern w:val="0"/>
          <w:sz w:val="24"/>
          <w:szCs w:val="24"/>
        </w:rPr>
      </w:pPr>
    </w:p>
    <w:p w14:paraId="4321950E">
      <w:pPr>
        <w:widowControl/>
        <w:wordWrap w:val="0"/>
        <w:jc w:val="center"/>
        <w:rPr>
          <w:rFonts w:hint="eastAsia" w:ascii="宋体" w:hAnsi="宋体" w:eastAsia="宋体" w:cs="宋体"/>
          <w:b/>
          <w:color w:val="auto"/>
          <w:kern w:val="0"/>
          <w:sz w:val="24"/>
          <w:szCs w:val="24"/>
        </w:rPr>
      </w:pPr>
    </w:p>
    <w:p w14:paraId="012A11B9">
      <w:pPr>
        <w:widowControl/>
        <w:wordWrap w:val="0"/>
        <w:jc w:val="center"/>
        <w:rPr>
          <w:rFonts w:hint="eastAsia" w:ascii="宋体" w:hAnsi="宋体" w:eastAsia="宋体" w:cs="宋体"/>
          <w:b/>
          <w:color w:val="auto"/>
          <w:kern w:val="0"/>
          <w:sz w:val="24"/>
          <w:szCs w:val="24"/>
        </w:rPr>
      </w:pPr>
    </w:p>
    <w:p w14:paraId="7B4FF35F">
      <w:pPr>
        <w:widowControl/>
        <w:wordWrap w:val="0"/>
        <w:jc w:val="center"/>
        <w:rPr>
          <w:rFonts w:hint="eastAsia" w:ascii="宋体" w:hAnsi="宋体" w:eastAsia="宋体" w:cs="宋体"/>
          <w:b/>
          <w:color w:val="auto"/>
          <w:kern w:val="0"/>
          <w:sz w:val="24"/>
          <w:szCs w:val="24"/>
        </w:rPr>
      </w:pPr>
    </w:p>
    <w:p w14:paraId="29DD3BA2">
      <w:pPr>
        <w:widowControl/>
        <w:wordWrap w:val="0"/>
        <w:jc w:val="center"/>
        <w:rPr>
          <w:rFonts w:hint="eastAsia" w:ascii="宋体" w:hAnsi="宋体" w:eastAsia="宋体" w:cs="宋体"/>
          <w:b/>
          <w:color w:val="auto"/>
          <w:kern w:val="0"/>
          <w:sz w:val="24"/>
          <w:szCs w:val="24"/>
        </w:rPr>
      </w:pPr>
    </w:p>
    <w:p w14:paraId="4DFD27C3">
      <w:pPr>
        <w:widowControl/>
        <w:wordWrap w:val="0"/>
        <w:jc w:val="center"/>
        <w:rPr>
          <w:rFonts w:hint="eastAsia" w:ascii="宋体" w:hAnsi="宋体" w:eastAsia="宋体" w:cs="宋体"/>
          <w:b/>
          <w:color w:val="auto"/>
          <w:kern w:val="0"/>
          <w:sz w:val="24"/>
          <w:szCs w:val="24"/>
        </w:rPr>
      </w:pPr>
    </w:p>
    <w:p w14:paraId="6276A236">
      <w:pPr>
        <w:widowControl/>
        <w:wordWrap w:val="0"/>
        <w:jc w:val="center"/>
        <w:rPr>
          <w:rFonts w:hint="eastAsia" w:ascii="宋体" w:hAnsi="宋体" w:eastAsia="宋体" w:cs="宋体"/>
          <w:b/>
          <w:color w:val="auto"/>
          <w:kern w:val="0"/>
          <w:sz w:val="24"/>
          <w:szCs w:val="24"/>
        </w:rPr>
      </w:pPr>
    </w:p>
    <w:p w14:paraId="062A542C">
      <w:pPr>
        <w:widowControl/>
        <w:wordWrap w:val="0"/>
        <w:jc w:val="center"/>
        <w:rPr>
          <w:rFonts w:hint="eastAsia" w:ascii="宋体" w:hAnsi="宋体" w:eastAsia="宋体" w:cs="宋体"/>
          <w:b/>
          <w:color w:val="auto"/>
          <w:kern w:val="0"/>
          <w:sz w:val="24"/>
          <w:szCs w:val="24"/>
        </w:rPr>
      </w:pPr>
    </w:p>
    <w:p w14:paraId="0F07C066">
      <w:pPr>
        <w:widowControl/>
        <w:wordWrap w:val="0"/>
        <w:jc w:val="center"/>
        <w:rPr>
          <w:rFonts w:hint="eastAsia" w:ascii="宋体" w:hAnsi="宋体" w:eastAsia="宋体" w:cs="宋体"/>
          <w:b/>
          <w:color w:val="auto"/>
          <w:kern w:val="0"/>
          <w:sz w:val="24"/>
          <w:szCs w:val="24"/>
        </w:rPr>
      </w:pPr>
    </w:p>
    <w:p w14:paraId="50CFEAAA">
      <w:pPr>
        <w:widowControl/>
        <w:wordWrap w:val="0"/>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rPr>
        <w:t xml:space="preserve">    签订地点：  </w:t>
      </w:r>
    </w:p>
    <w:p w14:paraId="6AF38795">
      <w:pPr>
        <w:widowControl/>
        <w:wordWrap w:val="0"/>
        <w:jc w:val="left"/>
        <w:rPr>
          <w:rFonts w:hint="eastAsia" w:ascii="宋体" w:hAnsi="宋体" w:eastAsia="宋体" w:cs="宋体"/>
          <w:b/>
          <w:color w:val="auto"/>
          <w:kern w:val="0"/>
          <w:sz w:val="24"/>
          <w:szCs w:val="24"/>
        </w:rPr>
      </w:pPr>
    </w:p>
    <w:p w14:paraId="72CB3E7A">
      <w:pPr>
        <w:widowControl/>
        <w:wordWrap w:val="0"/>
        <w:jc w:val="center"/>
        <w:rPr>
          <w:rFonts w:hint="eastAsia" w:ascii="宋体" w:hAnsi="宋体" w:eastAsia="宋体" w:cs="宋体"/>
          <w:color w:val="auto"/>
          <w:kern w:val="0"/>
          <w:sz w:val="20"/>
          <w:szCs w:val="20"/>
          <w:lang w:val="en-US" w:eastAsia="zh-CN"/>
        </w:rPr>
      </w:pPr>
      <w:r>
        <w:rPr>
          <w:rFonts w:hint="eastAsia" w:ascii="宋体" w:hAnsi="宋体" w:eastAsia="宋体" w:cs="宋体"/>
          <w:b/>
          <w:color w:val="auto"/>
          <w:kern w:val="0"/>
          <w:sz w:val="24"/>
          <w:szCs w:val="24"/>
        </w:rPr>
        <w:t>签订日期:</w:t>
      </w:r>
      <w:r>
        <w:rPr>
          <w:rFonts w:hint="eastAsia" w:ascii="宋体" w:hAnsi="宋体" w:eastAsia="宋体" w:cs="宋体"/>
          <w:color w:val="auto"/>
          <w:kern w:val="0"/>
          <w:sz w:val="20"/>
          <w:szCs w:val="20"/>
        </w:rPr>
        <w:t xml:space="preserve"> </w:t>
      </w:r>
    </w:p>
    <w:p w14:paraId="016EC5C7">
      <w:pPr>
        <w:widowControl/>
        <w:tabs>
          <w:tab w:val="left" w:pos="1600"/>
          <w:tab w:val="left" w:pos="1920"/>
        </w:tabs>
        <w:wordWrap w:val="0"/>
        <w:snapToGrid w:val="0"/>
        <w:spacing w:line="360" w:lineRule="auto"/>
        <w:jc w:val="left"/>
        <w:rPr>
          <w:rFonts w:hint="eastAsia" w:ascii="宋体" w:hAnsi="宋体" w:eastAsia="宋体" w:cs="宋体"/>
          <w:color w:val="auto"/>
          <w:kern w:val="0"/>
          <w:sz w:val="28"/>
          <w:szCs w:val="28"/>
        </w:rPr>
      </w:pPr>
    </w:p>
    <w:p w14:paraId="37B6A3E5">
      <w:pPr>
        <w:widowControl/>
        <w:tabs>
          <w:tab w:val="left" w:pos="1600"/>
          <w:tab w:val="left" w:pos="1920"/>
        </w:tabs>
        <w:wordWrap w:val="0"/>
        <w:snapToGrid w:val="0"/>
        <w:spacing w:line="360" w:lineRule="auto"/>
        <w:jc w:val="left"/>
        <w:rPr>
          <w:rFonts w:hint="eastAsia" w:ascii="宋体" w:hAnsi="宋体" w:eastAsia="宋体" w:cs="宋体"/>
          <w:color w:val="auto"/>
          <w:kern w:val="0"/>
          <w:sz w:val="28"/>
          <w:szCs w:val="28"/>
        </w:rPr>
      </w:pPr>
    </w:p>
    <w:p w14:paraId="469C8769">
      <w:pPr>
        <w:widowControl/>
        <w:tabs>
          <w:tab w:val="left" w:pos="1600"/>
          <w:tab w:val="left" w:pos="1920"/>
        </w:tabs>
        <w:wordWrap w:val="0"/>
        <w:snapToGrid w:val="0"/>
        <w:spacing w:line="360" w:lineRule="auto"/>
        <w:jc w:val="left"/>
        <w:rPr>
          <w:rFonts w:hint="eastAsia" w:ascii="宋体" w:hAnsi="宋体" w:eastAsia="宋体" w:cs="宋体"/>
          <w:color w:val="auto"/>
          <w:kern w:val="0"/>
          <w:sz w:val="24"/>
          <w:szCs w:val="24"/>
        </w:rPr>
      </w:pPr>
    </w:p>
    <w:p w14:paraId="41DBC6EC">
      <w:pPr>
        <w:widowControl/>
        <w:tabs>
          <w:tab w:val="left" w:pos="1600"/>
          <w:tab w:val="left" w:pos="1920"/>
        </w:tabs>
        <w:wordWrap w:val="0"/>
        <w:snapToGrid w:val="0"/>
        <w:spacing w:line="360" w:lineRule="auto"/>
        <w:jc w:val="left"/>
        <w:rPr>
          <w:rFonts w:hint="eastAsia" w:ascii="宋体" w:hAnsi="宋体" w:eastAsia="宋体" w:cs="宋体"/>
          <w:color w:val="auto"/>
          <w:kern w:val="0"/>
          <w:sz w:val="24"/>
          <w:szCs w:val="24"/>
        </w:rPr>
      </w:pPr>
    </w:p>
    <w:p w14:paraId="2606AFE4">
      <w:pP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br w:type="page"/>
      </w:r>
    </w:p>
    <w:p w14:paraId="100D296B">
      <w:pPr>
        <w:widowControl/>
        <w:wordWrap w:val="0"/>
        <w:snapToGrid w:val="0"/>
        <w:spacing w:line="360" w:lineRule="auto"/>
        <w:jc w:val="left"/>
        <w:rPr>
          <w:rFonts w:hint="eastAsia" w:ascii="宋体" w:hAnsi="宋体" w:eastAsia="宋体" w:cs="宋体"/>
          <w:color w:val="auto"/>
          <w:kern w:val="0"/>
          <w:sz w:val="22"/>
          <w:szCs w:val="22"/>
          <w:u w:val="single"/>
        </w:rPr>
      </w:pPr>
      <w:r>
        <w:rPr>
          <w:rFonts w:hint="eastAsia" w:ascii="宋体" w:hAnsi="宋体" w:eastAsia="宋体" w:cs="宋体"/>
          <w:color w:val="auto"/>
          <w:kern w:val="0"/>
          <w:sz w:val="22"/>
          <w:szCs w:val="22"/>
        </w:rPr>
        <w:t>甲方：平阳县青澜酒店管理有限公司</w:t>
      </w:r>
    </w:p>
    <w:p w14:paraId="6237DAA4">
      <w:pPr>
        <w:widowControl/>
        <w:tabs>
          <w:tab w:val="left" w:pos="1600"/>
          <w:tab w:val="left" w:pos="1920"/>
        </w:tabs>
        <w:wordWrap w:val="0"/>
        <w:snapToGrid w:val="0"/>
        <w:spacing w:line="360" w:lineRule="auto"/>
        <w:jc w:val="left"/>
        <w:rPr>
          <w:rFonts w:hint="eastAsia" w:ascii="宋体" w:hAnsi="宋体" w:eastAsia="宋体" w:cs="宋体"/>
          <w:color w:val="auto"/>
          <w:kern w:val="0"/>
          <w:sz w:val="22"/>
          <w:szCs w:val="22"/>
          <w:u w:val="single"/>
        </w:rPr>
      </w:pPr>
      <w:r>
        <w:rPr>
          <w:rFonts w:hint="eastAsia" w:ascii="宋体" w:hAnsi="宋体" w:eastAsia="宋体" w:cs="宋体"/>
          <w:color w:val="auto"/>
          <w:kern w:val="0"/>
          <w:sz w:val="22"/>
          <w:szCs w:val="22"/>
        </w:rPr>
        <w:t>乙方：</w:t>
      </w:r>
    </w:p>
    <w:p w14:paraId="6C7475ED">
      <w:pPr>
        <w:widowControl/>
        <w:wordWrap w:val="0"/>
        <w:snapToGrid w:val="0"/>
        <w:spacing w:line="360" w:lineRule="auto"/>
        <w:ind w:firstLine="56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为了明确甲方和乙方在液化天然气（LNG）销售和购买中的权利和义务。根据《中华人民共和国</w:t>
      </w:r>
      <w:r>
        <w:rPr>
          <w:rFonts w:hint="eastAsia" w:ascii="宋体" w:hAnsi="宋体" w:eastAsia="宋体" w:cs="宋体"/>
          <w:color w:val="auto"/>
          <w:kern w:val="0"/>
          <w:sz w:val="22"/>
          <w:szCs w:val="22"/>
          <w:lang w:eastAsia="zh-CN"/>
        </w:rPr>
        <w:t>民法典</w:t>
      </w:r>
      <w:r>
        <w:rPr>
          <w:rFonts w:hint="eastAsia" w:ascii="宋体" w:hAnsi="宋体" w:eastAsia="宋体" w:cs="宋体"/>
          <w:color w:val="auto"/>
          <w:kern w:val="0"/>
          <w:sz w:val="22"/>
          <w:szCs w:val="22"/>
        </w:rPr>
        <w:t>》等法律、法规和规章，经甲方与乙方双方协商一致，签订本合同，以便共同遵守。</w:t>
      </w:r>
    </w:p>
    <w:p w14:paraId="7680ACE9">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color w:val="auto"/>
          <w:kern w:val="0"/>
          <w:sz w:val="22"/>
          <w:szCs w:val="22"/>
        </w:rPr>
        <w:t>第一条</w:t>
      </w:r>
      <w:r>
        <w:rPr>
          <w:rFonts w:hint="eastAsia" w:ascii="宋体" w:hAnsi="宋体" w:eastAsia="宋体" w:cs="宋体"/>
          <w:color w:val="auto"/>
          <w:kern w:val="0"/>
          <w:sz w:val="22"/>
          <w:szCs w:val="22"/>
        </w:rPr>
        <w:t xml:space="preserve">  供货方式</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交付地点</w:t>
      </w:r>
      <w:r>
        <w:rPr>
          <w:rFonts w:hint="eastAsia" w:ascii="宋体" w:hAnsi="宋体" w:eastAsia="宋体" w:cs="宋体"/>
          <w:color w:val="auto"/>
          <w:kern w:val="0"/>
          <w:sz w:val="22"/>
          <w:szCs w:val="22"/>
        </w:rPr>
        <w:t>和质量</w:t>
      </w:r>
    </w:p>
    <w:p w14:paraId="5C52AC61">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（一）供货方式</w:t>
      </w:r>
    </w:p>
    <w:p w14:paraId="7868AA12">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1.（1）甲方同意按合同所列条款和条件购买由乙方销售的液化天然气（LNG）工业原料、运输及天然气站维护服务。</w:t>
      </w:r>
    </w:p>
    <w:p w14:paraId="1A865B15">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  （2）乙方同意按本合同所约定条款和条件交付由甲方购买的液化天然气（LNG）工业原料、运输及气站维护服务。</w:t>
      </w:r>
    </w:p>
    <w:p w14:paraId="2AFB1931">
      <w:pPr>
        <w:widowControl/>
        <w:wordWrap w:val="0"/>
        <w:snapToGrid w:val="0"/>
        <w:spacing w:line="360" w:lineRule="auto"/>
        <w:ind w:firstLine="503" w:firstLineChars="229"/>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乙方应对运输车负责，应当为运输车辆安装具有行驶记录功能的卫星定位装置以及提供符合运输天然气产品的设施。乙方必须向甲方提供合法有效的危险货物道路运输许可证、营业执照、运输车辆的道路运输证、车辆驾驶员及押运人员的从业资格证。运输车辆在槽车进站、停车以及卸液过程中应按照安全规定进行操作。</w:t>
      </w:r>
    </w:p>
    <w:p w14:paraId="6E1CDDC7">
      <w:pPr>
        <w:widowControl/>
        <w:wordWrap w:val="0"/>
        <w:snapToGrid w:val="0"/>
        <w:spacing w:line="360" w:lineRule="auto"/>
        <w:ind w:firstLine="503" w:firstLineChars="229"/>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（4）乙方负责为甲方提供货物运输服务，并安全、准时、准确地将货物运至甲方指定的目的地。运输过程中安全由乙方自行负责，甲方不承担任何责任。</w:t>
      </w:r>
    </w:p>
    <w:p w14:paraId="7FD46042">
      <w:pPr>
        <w:widowControl/>
        <w:wordWrap w:val="0"/>
        <w:snapToGrid w:val="0"/>
        <w:spacing w:line="360" w:lineRule="auto"/>
        <w:ind w:firstLine="272"/>
        <w:jc w:val="left"/>
        <w:rPr>
          <w:rFonts w:hint="eastAsia" w:ascii="宋体" w:hAnsi="宋体" w:eastAsia="宋体" w:cs="宋体"/>
          <w:color w:val="auto"/>
          <w:sz w:val="22"/>
          <w:szCs w:val="22"/>
          <w:lang w:val="en-US" w:eastAsia="zh-CN"/>
        </w:rPr>
      </w:pPr>
      <w:r>
        <w:rPr>
          <w:rFonts w:hint="eastAsia" w:ascii="宋体" w:hAnsi="宋体" w:eastAsia="宋体" w:cs="宋体"/>
          <w:color w:val="auto"/>
          <w:kern w:val="0"/>
          <w:sz w:val="22"/>
          <w:szCs w:val="22"/>
        </w:rPr>
        <w:t>2.在合同期内，在本合同完全履行、且乙方未发生任何违约行为的前提下</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rPr>
        <w:t>甲方须承诺乙方为其唯一供货方。乙方拥有提供本合同服务内容的相关资质。</w:t>
      </w:r>
    </w:p>
    <w:p w14:paraId="7F7231A2">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（二）供货质量</w:t>
      </w:r>
    </w:p>
    <w:p w14:paraId="6D76A105">
      <w:pPr>
        <w:widowControl/>
        <w:wordWrap w:val="0"/>
        <w:snapToGrid w:val="0"/>
        <w:spacing w:line="360" w:lineRule="auto"/>
        <w:ind w:firstLine="660" w:firstLineChars="3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乙方提供的LNG质量符合中华人民共和国国家标准《天然气》（GB 17820）最新标准中所规定的二类天然气气质标准执行。</w:t>
      </w:r>
    </w:p>
    <w:p w14:paraId="133028F8">
      <w:pPr>
        <w:pStyle w:val="6"/>
        <w:spacing w:line="360" w:lineRule="auto"/>
        <w:ind w:firstLine="0" w:firstLineChars="0"/>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三</w:t>
      </w:r>
      <w:r>
        <w:rPr>
          <w:rFonts w:hint="eastAsia" w:ascii="宋体" w:hAnsi="宋体" w:eastAsia="宋体" w:cs="宋体"/>
          <w:color w:val="auto"/>
          <w:kern w:val="0"/>
          <w:sz w:val="22"/>
          <w:szCs w:val="22"/>
          <w:lang w:eastAsia="zh-CN"/>
        </w:rPr>
        <w:t>）</w:t>
      </w:r>
      <w:r>
        <w:rPr>
          <w:rFonts w:hint="eastAsia" w:ascii="宋体" w:hAnsi="宋体" w:eastAsia="宋体" w:cs="宋体"/>
          <w:color w:val="auto"/>
          <w:kern w:val="0"/>
          <w:sz w:val="22"/>
          <w:szCs w:val="22"/>
          <w:lang w:val="en-US" w:eastAsia="zh-CN"/>
        </w:rPr>
        <w:t>交付</w:t>
      </w:r>
    </w:p>
    <w:p w14:paraId="6B022459">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b w:val="0"/>
          <w:bCs w:val="0"/>
          <w:color w:val="auto"/>
          <w:kern w:val="0"/>
          <w:sz w:val="22"/>
          <w:szCs w:val="22"/>
          <w:lang w:eastAsia="zh-CN"/>
        </w:rPr>
        <w:t>交付点</w:t>
      </w:r>
      <w:r>
        <w:rPr>
          <w:rFonts w:hint="eastAsia" w:ascii="宋体" w:hAnsi="宋体" w:eastAsia="宋体" w:cs="宋体"/>
          <w:b w:val="0"/>
          <w:bCs w:val="0"/>
          <w:color w:val="auto"/>
          <w:kern w:val="0"/>
          <w:sz w:val="22"/>
          <w:szCs w:val="22"/>
        </w:rPr>
        <w:t>：</w:t>
      </w:r>
      <w:r>
        <w:rPr>
          <w:rFonts w:hint="eastAsia" w:ascii="宋体" w:hAnsi="宋体" w:eastAsia="宋体" w:cs="宋体"/>
          <w:b w:val="0"/>
          <w:bCs w:val="0"/>
          <w:color w:val="auto"/>
          <w:kern w:val="0"/>
          <w:sz w:val="22"/>
          <w:szCs w:val="22"/>
          <w:lang w:val="en-US" w:eastAsia="zh-CN"/>
        </w:rPr>
        <w:t>温州市平阳县雁荡山君澜度假酒店旁气站</w:t>
      </w:r>
      <w:r>
        <w:rPr>
          <w:rFonts w:hint="eastAsia" w:ascii="宋体" w:hAnsi="宋体" w:eastAsia="宋体" w:cs="宋体"/>
          <w:b w:val="0"/>
          <w:bCs w:val="0"/>
          <w:color w:val="auto"/>
          <w:kern w:val="0"/>
          <w:sz w:val="22"/>
          <w:szCs w:val="22"/>
          <w:lang w:eastAsia="zh-CN"/>
        </w:rPr>
        <w:t>。</w:t>
      </w:r>
    </w:p>
    <w:p w14:paraId="750783C1">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1、交付地点及联系人</w:t>
      </w:r>
    </w:p>
    <w:p w14:paraId="47A2304F">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1.1、甲方指定的LNG交付地点：温州市平阳县雁荡山君澜度假酒店旁气站。若发生非不可抗力事件导致供气延误的，乙方需及时向甲方反映情况(最迟不超过2小时)，并出具书面通知，说明延误原因、预计影响时长及拟采取的补救措施，并在发出通知书后24小时内解决供气问题，否则视为乙方逾期交付</w:t>
      </w:r>
      <w:r>
        <w:rPr>
          <w:rFonts w:hint="eastAsia" w:ascii="宋体" w:hAnsi="宋体" w:cs="宋体"/>
          <w:color w:val="auto"/>
          <w:kern w:val="0"/>
          <w:sz w:val="22"/>
          <w:szCs w:val="22"/>
          <w:lang w:eastAsia="zh-CN"/>
        </w:rPr>
        <w:t>；</w:t>
      </w:r>
      <w:r>
        <w:rPr>
          <w:rFonts w:hint="eastAsia" w:ascii="宋体" w:hAnsi="宋体" w:eastAsia="宋体" w:cs="宋体"/>
          <w:color w:val="auto"/>
          <w:kern w:val="0"/>
          <w:sz w:val="22"/>
          <w:szCs w:val="22"/>
        </w:rPr>
        <w:t>若发生不可抗力事件导致供气延误的，乙方应在事件发生后24小时内向甲方提交书面通知书及相关佐证材料（如官方公告第三方证明等，逾期未通知或未提供有效证明的，不得主张不可抗力免责，仍按逾期交付处理），双方应根据不可抗力事件对供气能力影响程度协商确定延迟供货期限。协商期限不超过2个工作日，届时若无法达成一致，甲方有权单方合理确定延长期限，或解除合同并要求乙方承担相应责任乙方应尽最大努力减少因不可抗力对甲方造成的不利影响。不可抗力事件结束后，乙方应在24小时内恢复供气，否则按非不可抗力逾期交付处理。</w:t>
      </w:r>
    </w:p>
    <w:p w14:paraId="726AEB78">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1.2、乙方驾驶员提前到达交付地点时，需把车辆停放至安全合理的位置，甲方不提供槽车停放地点，期间槽车发生任何安全事故由乙方自行承担。</w:t>
      </w:r>
    </w:p>
    <w:p w14:paraId="01C986EF">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2、交付分工：LNG卸载时，乙方操作人员负责储气站内所属设备、工具或部件的操作；乙方驾驶员负责运输车辆所属设备、工具或部件的操作，并尽量将车内液化天然气LNG卸载干净。如因乙方操作不当引起的风险，由乙方承担全部责任及其带来的一切经济损失。</w:t>
      </w:r>
    </w:p>
    <w:p w14:paraId="17FBF8F0">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3、所有权和交付风险转移：气站由乙方维护，甲方不进入气站作业，气站所有的事项由乙方负责，风险均由乙方负责。</w:t>
      </w:r>
    </w:p>
    <w:p w14:paraId="032EF529">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4、交付气量</w:t>
      </w:r>
    </w:p>
    <w:p w14:paraId="40765B62">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4.1、乙方驾驶员应在运货单上签字以确认承运数量。</w:t>
      </w:r>
    </w:p>
    <w:p w14:paraId="368DA2E9">
      <w:pPr>
        <w:widowControl/>
        <w:wordWrap w:val="0"/>
        <w:snapToGrid w:val="0"/>
        <w:spacing w:line="360" w:lineRule="auto"/>
        <w:ind w:firstLine="272"/>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4.2、甲方应在运货单上签字以确认接收数量。</w:t>
      </w:r>
    </w:p>
    <w:p w14:paraId="23C773A5">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color w:val="auto"/>
          <w:kern w:val="0"/>
          <w:sz w:val="22"/>
          <w:szCs w:val="22"/>
          <w:lang w:val="en-US" w:eastAsia="zh-CN"/>
        </w:rPr>
        <w:t>5、</w:t>
      </w:r>
      <w:r>
        <w:rPr>
          <w:rFonts w:hint="eastAsia" w:ascii="宋体" w:hAnsi="宋体" w:eastAsia="宋体" w:cs="宋体"/>
          <w:b w:val="0"/>
          <w:bCs/>
          <w:color w:val="auto"/>
          <w:kern w:val="2"/>
          <w:sz w:val="22"/>
          <w:szCs w:val="22"/>
          <w:highlight w:val="none"/>
        </w:rPr>
        <w:t>计 量</w:t>
      </w:r>
    </w:p>
    <w:p w14:paraId="2675A451">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 xml:space="preserve">1 本合同项下交付的LNG，以重量计量，单位为吨，计量工具为汽车地衡。 </w:t>
      </w:r>
    </w:p>
    <w:p w14:paraId="2463BD05">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2 LNG交付量分别以</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LNG装车设施汽车地衡和</w:t>
      </w:r>
      <w:r>
        <w:rPr>
          <w:rFonts w:hint="eastAsia" w:ascii="宋体" w:hAnsi="宋体" w:eastAsia="宋体" w:cs="宋体"/>
          <w:b w:val="0"/>
          <w:bCs/>
          <w:color w:val="auto"/>
          <w:kern w:val="2"/>
          <w:sz w:val="22"/>
          <w:szCs w:val="22"/>
          <w:highlight w:val="none"/>
          <w:lang w:eastAsia="zh-CN"/>
        </w:rPr>
        <w:t>甲方</w:t>
      </w:r>
      <w:r>
        <w:rPr>
          <w:rFonts w:hint="eastAsia" w:ascii="宋体" w:hAnsi="宋体" w:eastAsia="宋体" w:cs="宋体"/>
          <w:b w:val="0"/>
          <w:bCs/>
          <w:color w:val="auto"/>
          <w:kern w:val="2"/>
          <w:sz w:val="22"/>
          <w:szCs w:val="22"/>
          <w:highlight w:val="none"/>
        </w:rPr>
        <w:t>气站处现场确认过磅重量。原则上每车LNG交付量计量值以</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LNG装车设施汽车地衡的计量值为准，但前提是该车LNG在</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LNG装车设施汽车地衡计量值与</w:t>
      </w:r>
      <w:r>
        <w:rPr>
          <w:rFonts w:hint="eastAsia" w:ascii="宋体" w:hAnsi="宋体" w:eastAsia="宋体" w:cs="宋体"/>
          <w:b w:val="0"/>
          <w:bCs/>
          <w:color w:val="auto"/>
          <w:kern w:val="2"/>
          <w:sz w:val="22"/>
          <w:szCs w:val="22"/>
          <w:highlight w:val="none"/>
          <w:lang w:eastAsia="zh-CN"/>
        </w:rPr>
        <w:t>甲方</w:t>
      </w:r>
      <w:r>
        <w:rPr>
          <w:rFonts w:hint="eastAsia" w:ascii="宋体" w:hAnsi="宋体" w:eastAsia="宋体" w:cs="宋体"/>
          <w:b w:val="0"/>
          <w:bCs/>
          <w:color w:val="auto"/>
          <w:kern w:val="2"/>
          <w:sz w:val="22"/>
          <w:szCs w:val="22"/>
          <w:highlight w:val="none"/>
        </w:rPr>
        <w:t>气站处现场确认过磅重量计量值的偏差值为正负百分之一（±1%）以内（含±1%），甲、乙双方互不追究。</w:t>
      </w:r>
    </w:p>
    <w:p w14:paraId="44CE099D">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3 如果某车LNG在</w:t>
      </w:r>
      <w:r>
        <w:rPr>
          <w:rFonts w:hint="eastAsia" w:ascii="宋体" w:hAnsi="宋体" w:eastAsia="宋体" w:cs="宋体"/>
          <w:b w:val="0"/>
          <w:bCs/>
          <w:color w:val="auto"/>
          <w:kern w:val="2"/>
          <w:sz w:val="22"/>
          <w:szCs w:val="22"/>
          <w:highlight w:val="none"/>
          <w:lang w:eastAsia="zh-CN"/>
        </w:rPr>
        <w:t>甲方气站处现场确认过磅重量</w:t>
      </w:r>
      <w:r>
        <w:rPr>
          <w:rFonts w:hint="eastAsia" w:ascii="宋体" w:hAnsi="宋体" w:eastAsia="宋体" w:cs="宋体"/>
          <w:b w:val="0"/>
          <w:bCs/>
          <w:color w:val="auto"/>
          <w:kern w:val="2"/>
          <w:sz w:val="22"/>
          <w:szCs w:val="22"/>
          <w:highlight w:val="none"/>
        </w:rPr>
        <w:t>与</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w:t>
      </w:r>
      <w:r>
        <w:rPr>
          <w:rFonts w:hint="eastAsia" w:ascii="宋体" w:hAnsi="宋体" w:eastAsia="宋体" w:cs="宋体"/>
          <w:b w:val="0"/>
          <w:bCs/>
          <w:color w:val="auto"/>
          <w:kern w:val="2"/>
          <w:sz w:val="22"/>
          <w:szCs w:val="22"/>
          <w:highlight w:val="none"/>
          <w:lang w:val="en-US" w:eastAsia="zh-CN"/>
        </w:rPr>
        <w:t>装车</w:t>
      </w:r>
      <w:r>
        <w:rPr>
          <w:rFonts w:hint="eastAsia" w:ascii="宋体" w:hAnsi="宋体" w:eastAsia="宋体" w:cs="宋体"/>
          <w:b w:val="0"/>
          <w:bCs/>
          <w:color w:val="auto"/>
          <w:kern w:val="2"/>
          <w:sz w:val="22"/>
          <w:szCs w:val="22"/>
          <w:highlight w:val="none"/>
        </w:rPr>
        <w:t>设施的汽车地衡计量值的偏差值超出负百分之一（－1%），则偏差值在负百分之一（－1%）以内部分视为正常的计量误差和运输损耗，该车LNG的计量值为：</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LNG装车设施汽车地衡计量值减去偏差值大于负百分之一（－1%）部分的LNG量。</w:t>
      </w:r>
    </w:p>
    <w:p w14:paraId="3A12143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.4 如果某车LNG在</w:t>
      </w:r>
      <w:r>
        <w:rPr>
          <w:rFonts w:hint="eastAsia" w:ascii="宋体" w:hAnsi="宋体" w:eastAsia="宋体" w:cs="宋体"/>
          <w:color w:val="auto"/>
          <w:sz w:val="22"/>
          <w:szCs w:val="22"/>
          <w:lang w:val="en-US" w:eastAsia="zh-CN"/>
        </w:rPr>
        <w:t>甲方气站处现场确认过磅重量</w:t>
      </w:r>
      <w:r>
        <w:rPr>
          <w:rFonts w:hint="eastAsia" w:ascii="宋体" w:hAnsi="宋体" w:eastAsia="宋体" w:cs="宋体"/>
          <w:b w:val="0"/>
          <w:bCs/>
          <w:color w:val="auto"/>
          <w:kern w:val="2"/>
          <w:sz w:val="22"/>
          <w:szCs w:val="22"/>
          <w:highlight w:val="none"/>
        </w:rPr>
        <w:t>与</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w:t>
      </w:r>
      <w:r>
        <w:rPr>
          <w:rFonts w:hint="eastAsia" w:ascii="宋体" w:hAnsi="宋体" w:eastAsia="宋体" w:cs="宋体"/>
          <w:b w:val="0"/>
          <w:bCs/>
          <w:color w:val="auto"/>
          <w:kern w:val="2"/>
          <w:sz w:val="22"/>
          <w:szCs w:val="22"/>
          <w:highlight w:val="none"/>
          <w:lang w:val="en-US" w:eastAsia="zh-CN"/>
        </w:rPr>
        <w:t>装车</w:t>
      </w:r>
      <w:r>
        <w:rPr>
          <w:rFonts w:hint="eastAsia" w:ascii="宋体" w:hAnsi="宋体" w:eastAsia="宋体" w:cs="宋体"/>
          <w:b w:val="0"/>
          <w:bCs/>
          <w:color w:val="auto"/>
          <w:kern w:val="2"/>
          <w:sz w:val="22"/>
          <w:szCs w:val="22"/>
          <w:highlight w:val="none"/>
        </w:rPr>
        <w:t>设施的汽车地衡计量值的偏差值超出正百分之一（+1%），该车LNG的计量值为：</w:t>
      </w:r>
      <w:r>
        <w:rPr>
          <w:rFonts w:hint="eastAsia" w:ascii="宋体" w:hAnsi="宋体" w:eastAsia="宋体" w:cs="宋体"/>
          <w:b w:val="0"/>
          <w:bCs/>
          <w:color w:val="auto"/>
          <w:kern w:val="2"/>
          <w:sz w:val="22"/>
          <w:szCs w:val="22"/>
          <w:highlight w:val="none"/>
          <w:lang w:eastAsia="zh-CN"/>
        </w:rPr>
        <w:t>乙方</w:t>
      </w:r>
      <w:r>
        <w:rPr>
          <w:rFonts w:hint="eastAsia" w:ascii="宋体" w:hAnsi="宋体" w:eastAsia="宋体" w:cs="宋体"/>
          <w:b w:val="0"/>
          <w:bCs/>
          <w:color w:val="auto"/>
          <w:kern w:val="2"/>
          <w:sz w:val="22"/>
          <w:szCs w:val="22"/>
          <w:highlight w:val="none"/>
        </w:rPr>
        <w:t>LNG装车设施汽车地衡计量值加上偏差值大于正百分之一（+1%）部分的LNG量。</w:t>
      </w:r>
    </w:p>
    <w:p w14:paraId="7078CB0E">
      <w:pPr>
        <w:pStyle w:val="6"/>
        <w:spacing w:line="360" w:lineRule="auto"/>
        <w:rPr>
          <w:rFonts w:hint="eastAsia" w:ascii="宋体" w:hAnsi="宋体" w:eastAsia="宋体" w:cs="宋体"/>
          <w:color w:val="auto"/>
          <w:sz w:val="22"/>
          <w:szCs w:val="22"/>
        </w:rPr>
      </w:pPr>
      <w:r>
        <w:rPr>
          <w:rFonts w:hint="eastAsia" w:ascii="宋体" w:hAnsi="宋体" w:eastAsia="宋体" w:cs="宋体"/>
          <w:b w:val="0"/>
          <w:bCs/>
          <w:color w:val="auto"/>
          <w:kern w:val="2"/>
          <w:sz w:val="22"/>
          <w:szCs w:val="22"/>
          <w:highlight w:val="none"/>
          <w:lang w:val="en-US" w:eastAsia="zh-CN"/>
        </w:rPr>
        <w:t>5</w:t>
      </w:r>
      <w:r>
        <w:rPr>
          <w:rFonts w:hint="eastAsia" w:ascii="宋体" w:hAnsi="宋体" w:eastAsia="宋体" w:cs="宋体"/>
          <w:b w:val="0"/>
          <w:bCs/>
          <w:color w:val="auto"/>
          <w:kern w:val="2"/>
          <w:sz w:val="22"/>
          <w:szCs w:val="22"/>
          <w:highlight w:val="none"/>
        </w:rPr>
        <w:t>.5 如任一方对另一方的计量有争议，可在交接计量文件（</w:t>
      </w:r>
      <w:r>
        <w:rPr>
          <w:rFonts w:hint="eastAsia" w:ascii="宋体" w:hAnsi="宋体" w:eastAsia="宋体" w:cs="宋体"/>
          <w:b w:val="0"/>
          <w:bCs/>
          <w:color w:val="auto"/>
          <w:kern w:val="2"/>
          <w:sz w:val="22"/>
          <w:szCs w:val="22"/>
          <w:highlight w:val="none"/>
          <w:lang w:eastAsia="zh-CN"/>
        </w:rPr>
        <w:t>甲方</w:t>
      </w:r>
      <w:r>
        <w:rPr>
          <w:rFonts w:hint="eastAsia" w:ascii="宋体" w:hAnsi="宋体" w:eastAsia="宋体" w:cs="宋体"/>
          <w:b w:val="0"/>
          <w:bCs/>
          <w:color w:val="auto"/>
          <w:kern w:val="2"/>
          <w:sz w:val="22"/>
          <w:szCs w:val="22"/>
          <w:highlight w:val="none"/>
        </w:rPr>
        <w:t>的</w:t>
      </w:r>
      <w:r>
        <w:rPr>
          <w:rFonts w:hint="eastAsia" w:ascii="宋体" w:hAnsi="宋体" w:eastAsia="宋体" w:cs="宋体"/>
          <w:b w:val="0"/>
          <w:bCs/>
          <w:color w:val="auto"/>
          <w:kern w:val="2"/>
          <w:sz w:val="22"/>
          <w:szCs w:val="22"/>
          <w:highlight w:val="none"/>
          <w:lang w:eastAsia="zh-CN"/>
        </w:rPr>
        <w:t>地磅秤</w:t>
      </w:r>
      <w:r>
        <w:rPr>
          <w:rFonts w:hint="eastAsia" w:ascii="宋体" w:hAnsi="宋体" w:eastAsia="宋体" w:cs="宋体"/>
          <w:b w:val="0"/>
          <w:bCs/>
          <w:color w:val="auto"/>
          <w:kern w:val="2"/>
          <w:sz w:val="22"/>
          <w:szCs w:val="22"/>
          <w:highlight w:val="none"/>
        </w:rPr>
        <w:t>计量单）上注明争议内容，并在第一时间沟通，查找原因。在争议解决前，LNG结算总金额暂按其中最低气量的数据先行付费，待原因明晰后根据实际情况相应核算。</w:t>
      </w:r>
    </w:p>
    <w:p w14:paraId="6BA6942A">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四</w:t>
      </w:r>
      <w:r>
        <w:rPr>
          <w:rFonts w:hint="eastAsia" w:ascii="宋体" w:hAnsi="宋体" w:eastAsia="宋体" w:cs="宋体"/>
          <w:color w:val="auto"/>
          <w:sz w:val="22"/>
          <w:szCs w:val="22"/>
          <w:lang w:eastAsia="zh-CN"/>
        </w:rPr>
        <w:t>）</w:t>
      </w:r>
      <w:r>
        <w:rPr>
          <w:rFonts w:hint="eastAsia" w:ascii="宋体" w:hAnsi="宋体" w:eastAsia="宋体" w:cs="宋体"/>
          <w:color w:val="auto"/>
          <w:sz w:val="22"/>
          <w:szCs w:val="22"/>
          <w:lang w:val="en-US" w:eastAsia="zh-CN"/>
        </w:rPr>
        <w:t>乙方向甲方提供本项目所需的气站，</w:t>
      </w:r>
      <w:r>
        <w:rPr>
          <w:rFonts w:hint="eastAsia" w:ascii="宋体" w:hAnsi="宋体" w:eastAsia="宋体" w:cs="宋体"/>
          <w:b w:val="0"/>
          <w:bCs/>
          <w:color w:val="auto"/>
          <w:kern w:val="2"/>
          <w:sz w:val="22"/>
          <w:szCs w:val="22"/>
          <w:highlight w:val="none"/>
          <w:lang w:val="en-US" w:eastAsia="zh-CN"/>
        </w:rPr>
        <w:t>气站规格如下：</w:t>
      </w:r>
    </w:p>
    <w:p w14:paraId="5D37E0D6">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内容器容积：20±2m³</w:t>
      </w:r>
    </w:p>
    <w:p w14:paraId="1009EE80">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外容器容积：14±2m³</w:t>
      </w:r>
    </w:p>
    <w:p w14:paraId="51C530CC">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内容器内径：1750±100mm</w:t>
      </w:r>
    </w:p>
    <w:p w14:paraId="41426695">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外容器内径：2200±100mm</w:t>
      </w:r>
    </w:p>
    <w:p w14:paraId="2A14BAE9">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容器高：10000mm±100mm</w:t>
      </w:r>
    </w:p>
    <w:p w14:paraId="76176578">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罐体材料：内筒体S30408；内封头S30408；外筒体Q245R；外封头Q245R</w:t>
      </w:r>
    </w:p>
    <w:p w14:paraId="79CF9B46">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厚度：内筒体≥5mm；内封头≥6mm；外筒体≥8mm；外封头≥8mm</w:t>
      </w:r>
    </w:p>
    <w:p w14:paraId="7C919D58">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设计压力：内容器0.8MPa；外容器-0.1MPa</w:t>
      </w:r>
    </w:p>
    <w:p w14:paraId="033D96EF">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设计温度：内容器-196℃；外容器50℃</w:t>
      </w:r>
    </w:p>
    <w:p w14:paraId="651C2F07">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最高允许工作压力：内容器0.82MPa</w:t>
      </w:r>
    </w:p>
    <w:p w14:paraId="0E9854A4">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安全附件及有关装置：压力表、液位计、容器安全阀</w:t>
      </w:r>
    </w:p>
    <w:p w14:paraId="0FD87D00">
      <w:pPr>
        <w:keepNext w:val="0"/>
        <w:keepLines w:val="0"/>
        <w:pageBreakBefore w:val="0"/>
        <w:kinsoku/>
        <w:wordWrap w:val="0"/>
        <w:overflowPunct/>
        <w:topLinePunct w:val="0"/>
        <w:autoSpaceDE w:val="0"/>
        <w:autoSpaceDN w:val="0"/>
        <w:bidi w:val="0"/>
        <w:snapToGrid w:val="0"/>
        <w:spacing w:line="360" w:lineRule="auto"/>
        <w:ind w:firstLine="440" w:firstLineChars="200"/>
        <w:textAlignment w:val="bottom"/>
        <w:rPr>
          <w:rFonts w:hint="eastAsia" w:ascii="宋体" w:hAnsi="宋体" w:eastAsia="宋体" w:cs="宋体"/>
          <w:b w:val="0"/>
          <w:bCs/>
          <w:color w:val="auto"/>
          <w:kern w:val="2"/>
          <w:sz w:val="22"/>
          <w:szCs w:val="22"/>
          <w:highlight w:val="none"/>
          <w:lang w:val="en-US" w:eastAsia="zh-CN"/>
        </w:rPr>
      </w:pPr>
      <w:r>
        <w:rPr>
          <w:rFonts w:hint="eastAsia" w:ascii="宋体" w:hAnsi="宋体" w:eastAsia="宋体" w:cs="宋体"/>
          <w:b w:val="0"/>
          <w:bCs/>
          <w:color w:val="auto"/>
          <w:kern w:val="2"/>
          <w:sz w:val="22"/>
          <w:szCs w:val="22"/>
          <w:highlight w:val="none"/>
          <w:lang w:val="en-US" w:eastAsia="zh-CN"/>
        </w:rPr>
        <w:t>气站基础配套安装及施工。</w:t>
      </w:r>
    </w:p>
    <w:p w14:paraId="1627C7E4">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color w:val="auto"/>
          <w:kern w:val="0"/>
          <w:sz w:val="22"/>
          <w:szCs w:val="22"/>
        </w:rPr>
        <w:t>第二条</w:t>
      </w:r>
      <w:r>
        <w:rPr>
          <w:rFonts w:hint="eastAsia" w:ascii="宋体" w:hAnsi="宋体" w:eastAsia="宋体" w:cs="宋体"/>
          <w:color w:val="auto"/>
          <w:kern w:val="0"/>
          <w:sz w:val="22"/>
          <w:szCs w:val="22"/>
        </w:rPr>
        <w:t xml:space="preserve">  价格、计量及货款结算方式</w:t>
      </w:r>
    </w:p>
    <w:p w14:paraId="5A1C7A6B">
      <w:pPr>
        <w:widowControl/>
        <w:wordWrap w:val="0"/>
        <w:snapToGrid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履约保证金：合同金额1%（本项目为合同预算金额），中标供应商在合同签订后7个工作日内交纳，未在规定时间内缴纳履约保证金的，采购人有权终止合同，并要求中标供应商赔偿解除合同的相应损失，可以采用现金、支票、汇票或保函（保险公司保险、银行保函、专业担保公司担保）的形式提交。待履行供货合同完毕、验收合格且不存在违约行为后7个工作日内予以退还（不计息）。</w:t>
      </w:r>
    </w:p>
    <w:p w14:paraId="3920046B">
      <w:pPr>
        <w:widowControl/>
        <w:wordWrap w:val="0"/>
        <w:snapToGrid w:val="0"/>
        <w:spacing w:line="360" w:lineRule="auto"/>
        <w:ind w:firstLine="440" w:firstLineChars="200"/>
        <w:jc w:val="lef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rPr>
        <w:t>1.</w:t>
      </w:r>
      <w:r>
        <w:rPr>
          <w:rFonts w:hint="eastAsia" w:ascii="宋体" w:hAnsi="宋体" w:eastAsia="宋体" w:cs="宋体"/>
          <w:color w:val="auto"/>
          <w:kern w:val="0"/>
          <w:sz w:val="22"/>
          <w:szCs w:val="22"/>
          <w:lang w:val="en-US" w:eastAsia="zh-CN"/>
        </w:rPr>
        <w:t>合同价格：</w:t>
      </w:r>
    </w:p>
    <w:tbl>
      <w:tblPr>
        <w:tblStyle w:val="2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5"/>
        <w:gridCol w:w="1785"/>
        <w:gridCol w:w="2775"/>
        <w:gridCol w:w="1965"/>
        <w:gridCol w:w="1965"/>
      </w:tblGrid>
      <w:tr w14:paraId="2EC17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5" w:type="dxa"/>
            <w:vAlign w:val="center"/>
          </w:tcPr>
          <w:p w14:paraId="3F384C6A">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序号</w:t>
            </w:r>
          </w:p>
        </w:tc>
        <w:tc>
          <w:tcPr>
            <w:tcW w:w="1785" w:type="dxa"/>
            <w:vAlign w:val="center"/>
          </w:tcPr>
          <w:p w14:paraId="45BD547A">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名称</w:t>
            </w:r>
          </w:p>
        </w:tc>
        <w:tc>
          <w:tcPr>
            <w:tcW w:w="2775" w:type="dxa"/>
            <w:vAlign w:val="center"/>
          </w:tcPr>
          <w:p w14:paraId="3628A2A6">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单价</w:t>
            </w:r>
          </w:p>
        </w:tc>
        <w:tc>
          <w:tcPr>
            <w:tcW w:w="1965" w:type="dxa"/>
            <w:vAlign w:val="center"/>
          </w:tcPr>
          <w:p w14:paraId="547F4950">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中标折扣率</w:t>
            </w:r>
          </w:p>
        </w:tc>
        <w:tc>
          <w:tcPr>
            <w:tcW w:w="1965" w:type="dxa"/>
            <w:vAlign w:val="center"/>
          </w:tcPr>
          <w:p w14:paraId="014C8575">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结算价</w:t>
            </w:r>
          </w:p>
        </w:tc>
      </w:tr>
      <w:tr w14:paraId="2AAA9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5" w:type="dxa"/>
            <w:vAlign w:val="center"/>
          </w:tcPr>
          <w:p w14:paraId="7340A859">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1</w:t>
            </w:r>
          </w:p>
        </w:tc>
        <w:tc>
          <w:tcPr>
            <w:tcW w:w="1785" w:type="dxa"/>
            <w:vAlign w:val="center"/>
          </w:tcPr>
          <w:p w14:paraId="2173F399">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LNG天然气基准价</w:t>
            </w:r>
          </w:p>
        </w:tc>
        <w:tc>
          <w:tcPr>
            <w:tcW w:w="2775" w:type="dxa"/>
            <w:vAlign w:val="center"/>
          </w:tcPr>
          <w:p w14:paraId="656FD0CA">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供气当日浙江宁波接收站基准价（中海石油气电集团有限公司浙江分公司华东浙沪市场价格调整公告内浙江地区基准价）</w:t>
            </w:r>
          </w:p>
        </w:tc>
        <w:tc>
          <w:tcPr>
            <w:tcW w:w="1965" w:type="dxa"/>
            <w:vMerge w:val="restart"/>
            <w:vAlign w:val="center"/>
          </w:tcPr>
          <w:p w14:paraId="4775F3A8">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lang w:val="en-US" w:eastAsia="zh-CN"/>
              </w:rPr>
              <w:t>%</w:t>
            </w:r>
          </w:p>
        </w:tc>
        <w:tc>
          <w:tcPr>
            <w:tcW w:w="1965" w:type="dxa"/>
            <w:vAlign w:val="center"/>
          </w:tcPr>
          <w:p w14:paraId="74CA7992">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当日基准价*</w:t>
            </w: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lang w:val="en-US" w:eastAsia="zh-CN"/>
              </w:rPr>
              <w:t>%</w:t>
            </w:r>
          </w:p>
        </w:tc>
      </w:tr>
      <w:tr w14:paraId="6AD6E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5" w:type="dxa"/>
            <w:vAlign w:val="center"/>
          </w:tcPr>
          <w:p w14:paraId="2D9D7254">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2</w:t>
            </w:r>
          </w:p>
        </w:tc>
        <w:tc>
          <w:tcPr>
            <w:tcW w:w="1785" w:type="dxa"/>
            <w:vAlign w:val="center"/>
          </w:tcPr>
          <w:p w14:paraId="0018D3C1">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运输费</w:t>
            </w:r>
          </w:p>
        </w:tc>
        <w:tc>
          <w:tcPr>
            <w:tcW w:w="2775" w:type="dxa"/>
            <w:vAlign w:val="center"/>
          </w:tcPr>
          <w:p w14:paraId="6155D238">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530元/吨</w:t>
            </w:r>
          </w:p>
        </w:tc>
        <w:tc>
          <w:tcPr>
            <w:tcW w:w="1965" w:type="dxa"/>
            <w:vMerge w:val="continue"/>
            <w:vAlign w:val="center"/>
          </w:tcPr>
          <w:p w14:paraId="5DE78A28">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p>
        </w:tc>
        <w:tc>
          <w:tcPr>
            <w:tcW w:w="1965" w:type="dxa"/>
            <w:vAlign w:val="center"/>
          </w:tcPr>
          <w:p w14:paraId="5D082BEC">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530元/吨*</w:t>
            </w: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lang w:val="en-US" w:eastAsia="zh-CN"/>
              </w:rPr>
              <w:t>%</w:t>
            </w:r>
          </w:p>
        </w:tc>
      </w:tr>
      <w:tr w14:paraId="4973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35" w:type="dxa"/>
            <w:vAlign w:val="center"/>
          </w:tcPr>
          <w:p w14:paraId="5A4E9002">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3</w:t>
            </w:r>
          </w:p>
        </w:tc>
        <w:tc>
          <w:tcPr>
            <w:tcW w:w="1785" w:type="dxa"/>
            <w:vAlign w:val="center"/>
          </w:tcPr>
          <w:p w14:paraId="6FA18F9F">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气站维护费</w:t>
            </w:r>
          </w:p>
        </w:tc>
        <w:tc>
          <w:tcPr>
            <w:tcW w:w="2775" w:type="dxa"/>
            <w:vAlign w:val="center"/>
          </w:tcPr>
          <w:p w14:paraId="167F8027">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78000元</w:t>
            </w:r>
          </w:p>
        </w:tc>
        <w:tc>
          <w:tcPr>
            <w:tcW w:w="1965" w:type="dxa"/>
            <w:vMerge w:val="continue"/>
            <w:vAlign w:val="center"/>
          </w:tcPr>
          <w:p w14:paraId="27D75DB9">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p>
        </w:tc>
        <w:tc>
          <w:tcPr>
            <w:tcW w:w="1965" w:type="dxa"/>
            <w:vAlign w:val="center"/>
          </w:tcPr>
          <w:p w14:paraId="41DAD956">
            <w:pPr>
              <w:pStyle w:val="10"/>
              <w:keepNext w:val="0"/>
              <w:keepLines w:val="0"/>
              <w:pageBreakBefore w:val="0"/>
              <w:kinsoku/>
              <w:overflowPunct/>
              <w:topLinePunct w:val="0"/>
              <w:bidi w:val="0"/>
              <w:spacing w:after="0" w:line="360" w:lineRule="auto"/>
              <w:ind w:left="0" w:leftChars="0" w:firstLine="0" w:firstLineChars="0"/>
              <w:jc w:val="center"/>
              <w:rPr>
                <w:rFonts w:hint="eastAsia" w:ascii="宋体" w:hAnsi="宋体" w:eastAsia="宋体" w:cs="宋体"/>
                <w:color w:val="auto"/>
                <w:sz w:val="22"/>
                <w:szCs w:val="22"/>
                <w:lang w:val="en-US" w:eastAsia="zh-CN"/>
              </w:rPr>
            </w:pPr>
            <w:r>
              <w:rPr>
                <w:rFonts w:hint="eastAsia" w:ascii="宋体" w:hAnsi="宋体" w:eastAsia="宋体" w:cs="宋体"/>
                <w:color w:val="auto"/>
                <w:sz w:val="22"/>
                <w:szCs w:val="22"/>
                <w:lang w:val="en-US" w:eastAsia="zh-CN"/>
              </w:rPr>
              <w:t>78000元*</w:t>
            </w:r>
            <w:r>
              <w:rPr>
                <w:rFonts w:hint="eastAsia" w:ascii="宋体" w:hAnsi="宋体" w:eastAsia="宋体" w:cs="宋体"/>
                <w:color w:val="auto"/>
                <w:sz w:val="22"/>
                <w:szCs w:val="22"/>
                <w:u w:val="single"/>
                <w:lang w:val="en-US" w:eastAsia="zh-CN"/>
              </w:rPr>
              <w:t xml:space="preserve">  </w:t>
            </w:r>
            <w:r>
              <w:rPr>
                <w:rFonts w:hint="eastAsia" w:ascii="宋体" w:hAnsi="宋体" w:eastAsia="宋体" w:cs="宋体"/>
                <w:color w:val="auto"/>
                <w:sz w:val="22"/>
                <w:szCs w:val="22"/>
                <w:lang w:val="en-US" w:eastAsia="zh-CN"/>
              </w:rPr>
              <w:t>%</w:t>
            </w:r>
          </w:p>
        </w:tc>
      </w:tr>
    </w:tbl>
    <w:p w14:paraId="5CB7E037">
      <w:pPr>
        <w:keepNext w:val="0"/>
        <w:keepLines w:val="0"/>
        <w:pageBreakBefore w:val="0"/>
        <w:widowControl w:val="0"/>
        <w:kinsoku/>
        <w:overflowPunct/>
        <w:topLinePunct w:val="0"/>
        <w:bidi w:val="0"/>
        <w:spacing w:after="0" w:line="360" w:lineRule="auto"/>
        <w:ind w:left="0" w:leftChars="0" w:firstLine="442" w:firstLineChars="200"/>
        <w:jc w:val="both"/>
        <w:rPr>
          <w:rFonts w:hint="eastAsia" w:ascii="宋体" w:hAnsi="宋体" w:eastAsia="宋体" w:cs="宋体"/>
          <w:b/>
          <w:bCs w:val="0"/>
          <w:color w:val="auto"/>
          <w:kern w:val="2"/>
          <w:sz w:val="22"/>
          <w:szCs w:val="22"/>
          <w:lang w:val="en-US" w:eastAsia="zh-CN" w:bidi="ar-SA"/>
        </w:rPr>
      </w:pPr>
      <w:r>
        <w:rPr>
          <w:rFonts w:hint="eastAsia" w:ascii="宋体" w:hAnsi="宋体" w:eastAsia="宋体" w:cs="宋体"/>
          <w:b/>
          <w:bCs w:val="0"/>
          <w:color w:val="auto"/>
          <w:kern w:val="2"/>
          <w:sz w:val="22"/>
          <w:szCs w:val="22"/>
          <w:lang w:val="en-US" w:eastAsia="zh-CN" w:bidi="ar-SA"/>
        </w:rPr>
        <w:t>结算价格如下：</w:t>
      </w:r>
    </w:p>
    <w:p w14:paraId="71DC5436">
      <w:pPr>
        <w:keepNext w:val="0"/>
        <w:keepLines w:val="0"/>
        <w:pageBreakBefore w:val="0"/>
        <w:widowControl w:val="0"/>
        <w:kinsoku/>
        <w:overflowPunct/>
        <w:topLinePunct w:val="0"/>
        <w:bidi w:val="0"/>
        <w:spacing w:after="0" w:line="360" w:lineRule="auto"/>
        <w:ind w:firstLine="221" w:firstLineChars="100"/>
        <w:jc w:val="both"/>
        <w:rPr>
          <w:rFonts w:hint="eastAsia" w:ascii="宋体" w:hAnsi="宋体" w:eastAsia="宋体" w:cs="宋体"/>
          <w:b/>
          <w:bCs w:val="0"/>
          <w:color w:val="auto"/>
          <w:kern w:val="2"/>
          <w:sz w:val="22"/>
          <w:szCs w:val="22"/>
          <w:lang w:val="en-US" w:eastAsia="zh-CN" w:bidi="ar-SA"/>
        </w:rPr>
      </w:pPr>
      <w:r>
        <w:rPr>
          <w:rFonts w:hint="eastAsia" w:ascii="宋体" w:hAnsi="宋体" w:eastAsia="宋体" w:cs="宋体"/>
          <w:b/>
          <w:bCs w:val="0"/>
          <w:color w:val="auto"/>
          <w:kern w:val="2"/>
          <w:sz w:val="22"/>
          <w:szCs w:val="22"/>
          <w:lang w:val="en-US" w:eastAsia="zh-CN" w:bidi="ar-SA"/>
        </w:rPr>
        <w:t>（1）结算气价费：供气当日浙江宁波接收站基准价（中海石油气电集团有限公司浙江分公司华东浙沪市场价格调整公告内浙江地区基准价）*中标折扣率*实际供气量。</w:t>
      </w:r>
    </w:p>
    <w:p w14:paraId="639DFE7E">
      <w:pPr>
        <w:keepNext w:val="0"/>
        <w:keepLines w:val="0"/>
        <w:pageBreakBefore w:val="0"/>
        <w:widowControl w:val="0"/>
        <w:kinsoku/>
        <w:overflowPunct/>
        <w:topLinePunct w:val="0"/>
        <w:bidi w:val="0"/>
        <w:spacing w:after="0" w:line="360" w:lineRule="auto"/>
        <w:ind w:firstLine="221" w:firstLineChars="100"/>
        <w:jc w:val="both"/>
        <w:rPr>
          <w:rFonts w:hint="eastAsia" w:ascii="宋体" w:hAnsi="宋体" w:eastAsia="宋体" w:cs="宋体"/>
          <w:b/>
          <w:bCs w:val="0"/>
          <w:color w:val="auto"/>
          <w:kern w:val="2"/>
          <w:sz w:val="22"/>
          <w:szCs w:val="22"/>
          <w:lang w:val="en-US" w:eastAsia="zh-CN" w:bidi="ar-SA"/>
        </w:rPr>
      </w:pPr>
      <w:r>
        <w:rPr>
          <w:rFonts w:hint="eastAsia" w:ascii="宋体" w:hAnsi="宋体" w:eastAsia="宋体" w:cs="宋体"/>
          <w:b/>
          <w:bCs w:val="0"/>
          <w:color w:val="auto"/>
          <w:kern w:val="2"/>
          <w:sz w:val="22"/>
          <w:szCs w:val="22"/>
          <w:lang w:val="en-US" w:eastAsia="zh-CN" w:bidi="ar-SA"/>
        </w:rPr>
        <w:t>（2）结算运输费费：530元/吨*中标折扣率*实际供气量。</w:t>
      </w:r>
    </w:p>
    <w:p w14:paraId="53F3E314">
      <w:pPr>
        <w:widowControl w:val="0"/>
        <w:wordWrap/>
        <w:snapToGrid/>
        <w:spacing w:line="360" w:lineRule="auto"/>
        <w:ind w:firstLine="221" w:firstLineChars="100"/>
        <w:jc w:val="both"/>
        <w:rPr>
          <w:rFonts w:hint="eastAsia" w:ascii="宋体" w:hAnsi="宋体" w:eastAsia="宋体" w:cs="宋体"/>
          <w:color w:val="auto"/>
          <w:kern w:val="0"/>
          <w:sz w:val="22"/>
          <w:szCs w:val="22"/>
        </w:rPr>
      </w:pPr>
      <w:r>
        <w:rPr>
          <w:rFonts w:hint="eastAsia" w:ascii="宋体" w:hAnsi="宋体" w:eastAsia="宋体" w:cs="宋体"/>
          <w:b/>
          <w:bCs w:val="0"/>
          <w:color w:val="auto"/>
          <w:kern w:val="2"/>
          <w:sz w:val="22"/>
          <w:szCs w:val="22"/>
          <w:lang w:val="en-US" w:eastAsia="zh-CN" w:bidi="ar-SA"/>
        </w:rPr>
        <w:t>（3）气站维护费：78000元*中标折扣率。</w:t>
      </w:r>
    </w:p>
    <w:p w14:paraId="0F3359F6">
      <w:pPr>
        <w:widowControl/>
        <w:wordWrap w:val="0"/>
        <w:snapToGrid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mc:AlternateContent>
          <mc:Choice Requires="wps">
            <w:drawing>
              <wp:anchor distT="0" distB="0" distL="114300" distR="114300" simplePos="0" relativeHeight="251659264" behindDoc="0" locked="0" layoutInCell="1" allowOverlap="0">
                <wp:simplePos x="0" y="0"/>
                <wp:positionH relativeFrom="page">
                  <wp:posOffset>3759200</wp:posOffset>
                </wp:positionH>
                <wp:positionV relativeFrom="paragraph">
                  <wp:posOffset>152400</wp:posOffset>
                </wp:positionV>
                <wp:extent cx="11430" cy="15240"/>
                <wp:effectExtent l="0" t="0" r="0" b="0"/>
                <wp:wrapNone/>
                <wp:docPr id="8" name="任意多边形 8"/>
                <wp:cNvGraphicFramePr/>
                <a:graphic xmlns:a="http://schemas.openxmlformats.org/drawingml/2006/main">
                  <a:graphicData uri="http://schemas.microsoft.com/office/word/2010/wordprocessingShape">
                    <wps:wsp>
                      <wps:cNvSpPr/>
                      <wps:spPr>
                        <a:xfrm>
                          <a:off x="0" y="0"/>
                          <a:ext cx="11430" cy="15240"/>
                        </a:xfrm>
                        <a:custGeom>
                          <a:avLst/>
                          <a:gdLst/>
                          <a:ahLst/>
                          <a:cxnLst/>
                          <a:pathLst>
                            <a:path w="19" h="23">
                              <a:moveTo>
                                <a:pt x="19" y="7"/>
                              </a:moveTo>
                              <a:lnTo>
                                <a:pt x="15" y="23"/>
                              </a:lnTo>
                              <a:lnTo>
                                <a:pt x="15" y="23"/>
                              </a:lnTo>
                              <a:lnTo>
                                <a:pt x="15" y="24"/>
                              </a:lnTo>
                              <a:lnTo>
                                <a:pt x="15" y="24"/>
                              </a:lnTo>
                              <a:lnTo>
                                <a:pt x="15" y="24"/>
                              </a:lnTo>
                              <a:lnTo>
                                <a:pt x="15" y="24"/>
                              </a:lnTo>
                              <a:lnTo>
                                <a:pt x="14" y="23"/>
                              </a:lnTo>
                            </a:path>
                          </a:pathLst>
                        </a:custGeom>
                        <a:solidFill>
                          <a:srgbClr val="FFFFFF"/>
                        </a:solidFill>
                        <a:ln w="6350" cap="flat" cmpd="sng">
                          <a:solidFill>
                            <a:srgbClr val="000000"/>
                          </a:solidFill>
                          <a:prstDash val="solid"/>
                          <a:headEnd type="none" w="med" len="med"/>
                          <a:tailEnd type="none" w="med" len="med"/>
                        </a:ln>
                        <a:effectLst/>
                      </wps:spPr>
                      <wps:txbx>
                        <w:txbxContent>
                          <w:p w14:paraId="3F58C1B4">
                            <w:pPr>
                              <w:widowControl/>
                              <w:wordWrap w:val="0"/>
                              <w:rPr>
                                <w:rFonts w:ascii="宋体" w:hAnsi="宋体" w:eastAsia="宋体" w:cs="Times New Roman"/>
                                <w:kern w:val="0"/>
                                <w:sz w:val="20"/>
                                <w:szCs w:val="20"/>
                              </w:rPr>
                            </w:pPr>
                          </w:p>
                        </w:txbxContent>
                      </wps:txbx>
                      <wps:bodyPr lIns="88900" tIns="50800" rIns="88900" bIns="50800" anchor="ctr" anchorCtr="0" upright="1"/>
                    </wps:wsp>
                  </a:graphicData>
                </a:graphic>
              </wp:anchor>
            </w:drawing>
          </mc:Choice>
          <mc:Fallback>
            <w:pict>
              <v:shape id="_x0000_s1026" o:spid="_x0000_s1026" o:spt="100" style="position:absolute;left:0pt;margin-left:296pt;margin-top:12pt;height:1.2pt;width:0.9pt;mso-position-horizontal-relative:page;z-index:251659264;v-text-anchor:middle;mso-width-relative:page;mso-height-relative:page;" fillcolor="#FFFFFF" filled="t" stroked="t" coordsize="19,23" o:allowoverlap="f" o:gfxdata="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7rrnTNkAAAAJAQAADwAAAAAAAAAB&#10;ACAAAAAiAAAAZHJzL2Rvd25yZXYueG1sUEsBAhQAFAAAAAgAh07iQGXzgaKBAgAA/gUAAA4AAAAA&#10;AAAAAQAgAAAAKAEAAGRycy9lMm9Eb2MueG1sUEsFBgAAAAAGAAYAWQEAABsGAAAAAA==&#10;" path="m19,7l15,23,15,23,15,24,15,24,15,24,15,24,14,23e">
                <v:path textboxrect="0,0,19,23"/>
                <v:fill on="t" focussize="0,0"/>
                <v:stroke weight="0.5pt" color="#000000" joinstyle="round"/>
                <v:imagedata o:title=""/>
                <o:lock v:ext="edit" aspectratio="f"/>
                <v:textbox inset="7pt,4pt,7pt,4pt">
                  <w:txbxContent>
                    <w:p w14:paraId="3F58C1B4">
                      <w:pPr>
                        <w:widowControl/>
                        <w:wordWrap w:val="0"/>
                        <w:rPr>
                          <w:rFonts w:ascii="宋体" w:hAnsi="宋体" w:eastAsia="宋体" w:cs="Times New Roman"/>
                          <w:kern w:val="0"/>
                          <w:sz w:val="20"/>
                          <w:szCs w:val="20"/>
                        </w:rPr>
                      </w:pPr>
                    </w:p>
                  </w:txbxContent>
                </v:textbox>
              </v:shape>
            </w:pict>
          </mc:Fallback>
        </mc:AlternateContent>
      </w:r>
      <w:r>
        <w:rPr>
          <w:rFonts w:hint="eastAsia" w:ascii="宋体" w:hAnsi="宋体" w:eastAsia="宋体" w:cs="宋体"/>
          <w:color w:val="auto"/>
          <w:kern w:val="0"/>
          <w:sz w:val="22"/>
          <w:szCs w:val="22"/>
        </w:rPr>
        <w:t>2.在本合同有效期内，双方约定，液化天然气（LNG）的调整机制以浙江宁波接收站基准价（中海石油气电集团有限公司浙江分公司华东浙沪市场价格调整公告内浙江地区基</w:t>
      </w:r>
      <w:r>
        <w:rPr>
          <w:rFonts w:hint="eastAsia" w:ascii="宋体" w:hAnsi="宋体" w:eastAsia="宋体" w:cs="宋体"/>
          <w:b w:val="0"/>
          <w:bCs w:val="0"/>
          <w:color w:val="auto"/>
          <w:kern w:val="0"/>
          <w:sz w:val="22"/>
          <w:szCs w:val="22"/>
        </w:rPr>
        <w:t>准价）</w:t>
      </w:r>
      <w:r>
        <w:rPr>
          <w:rFonts w:hint="eastAsia" w:ascii="宋体" w:hAnsi="宋体" w:eastAsia="宋体" w:cs="宋体"/>
          <w:b w:val="0"/>
          <w:bCs w:val="0"/>
          <w:color w:val="auto"/>
          <w:kern w:val="2"/>
          <w:sz w:val="22"/>
          <w:szCs w:val="22"/>
          <w:lang w:val="en-US" w:eastAsia="zh-CN" w:bidi="ar-SA"/>
        </w:rPr>
        <w:t>*中标折扣率</w:t>
      </w:r>
      <w:r>
        <w:rPr>
          <w:rFonts w:hint="eastAsia" w:ascii="宋体" w:hAnsi="宋体" w:eastAsia="宋体" w:cs="宋体"/>
          <w:b w:val="0"/>
          <w:bCs w:val="0"/>
          <w:color w:val="auto"/>
          <w:kern w:val="0"/>
          <w:sz w:val="22"/>
          <w:szCs w:val="22"/>
        </w:rPr>
        <w:t>，</w:t>
      </w:r>
      <w:r>
        <w:rPr>
          <w:rFonts w:hint="eastAsia" w:ascii="宋体" w:hAnsi="宋体" w:eastAsia="宋体" w:cs="宋体"/>
          <w:color w:val="auto"/>
          <w:kern w:val="0"/>
          <w:sz w:val="22"/>
          <w:szCs w:val="22"/>
        </w:rPr>
        <w:t>管网气调价及居民用气调价不作考虑。</w:t>
      </w:r>
    </w:p>
    <w:p w14:paraId="3191FC95">
      <w:pPr>
        <w:widowControl/>
        <w:wordWrap w:val="0"/>
        <w:snapToGrid w:val="0"/>
        <w:spacing w:line="360" w:lineRule="auto"/>
        <w:ind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3.结算方式：月结。每月20日完成上月费用对账及开具增值税发票。计量方式:按吨结算，双方应在过磅单上签字确认接收数量，交由双方财务保管。甲方收到乙方完整财务支付相关材料后10日内给乙方付款，必须汇入以下乙方指定账户：</w:t>
      </w:r>
    </w:p>
    <w:p w14:paraId="66E429AA">
      <w:pPr>
        <w:widowControl/>
        <w:tabs>
          <w:tab w:val="left" w:pos="1600"/>
          <w:tab w:val="left" w:pos="1920"/>
        </w:tabs>
        <w:wordWrap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公司名称：  </w:t>
      </w:r>
    </w:p>
    <w:p w14:paraId="264551DD">
      <w:pPr>
        <w:widowControl/>
        <w:tabs>
          <w:tab w:val="left" w:pos="1600"/>
          <w:tab w:val="left" w:pos="1920"/>
        </w:tabs>
        <w:wordWrap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公司账号：         </w:t>
      </w:r>
    </w:p>
    <w:p w14:paraId="71BF41C2">
      <w:pPr>
        <w:widowControl/>
        <w:tabs>
          <w:tab w:val="left" w:pos="1600"/>
          <w:tab w:val="left" w:pos="1920"/>
        </w:tabs>
        <w:wordWrap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开户行：</w:t>
      </w:r>
    </w:p>
    <w:p w14:paraId="520B71D1">
      <w:pPr>
        <w:widowControl/>
        <w:tabs>
          <w:tab w:val="left" w:pos="1600"/>
          <w:tab w:val="left" w:pos="1920"/>
        </w:tabs>
        <w:wordWrap w:val="0"/>
        <w:spacing w:line="360" w:lineRule="auto"/>
        <w:ind w:firstLine="440" w:firstLineChars="200"/>
        <w:jc w:val="left"/>
        <w:rPr>
          <w:rFonts w:hint="eastAsia" w:ascii="宋体" w:hAnsi="宋体" w:eastAsia="宋体" w:cs="宋体"/>
          <w:color w:val="auto"/>
          <w:kern w:val="0"/>
          <w:sz w:val="22"/>
          <w:szCs w:val="22"/>
        </w:rPr>
      </w:pPr>
      <w:bookmarkStart w:id="55" w:name="OLE_LINK4"/>
      <w:r>
        <w:rPr>
          <w:rFonts w:hint="eastAsia" w:ascii="宋体" w:hAnsi="宋体" w:eastAsia="宋体" w:cs="宋体"/>
          <w:color w:val="auto"/>
          <w:kern w:val="0"/>
          <w:sz w:val="22"/>
          <w:szCs w:val="22"/>
        </w:rPr>
        <w:t>行号：</w:t>
      </w:r>
      <w:bookmarkEnd w:id="55"/>
    </w:p>
    <w:p w14:paraId="51A3A770">
      <w:pPr>
        <w:widowControl/>
        <w:wordWrap w:val="0"/>
        <w:snapToGrid w:val="0"/>
        <w:spacing w:line="360" w:lineRule="auto"/>
        <w:ind w:firstLine="440" w:firstLineChars="200"/>
        <w:jc w:val="lef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气站维护服务费支付方式：在签订合同且收到供应商提供的齐全有效相关付款资料后10个工作日内采购人支付40%的天然气站维护服务费，服务期满后并收到供应商提交的齐全有效相关付款资料后7个工作日内采购人支付剩余费用。</w:t>
      </w:r>
    </w:p>
    <w:p w14:paraId="568E0643">
      <w:pPr>
        <w:widowControl/>
        <w:tabs>
          <w:tab w:val="left" w:pos="1600"/>
          <w:tab w:val="left" w:pos="1920"/>
        </w:tabs>
        <w:wordWrap w:val="0"/>
        <w:spacing w:line="360" w:lineRule="auto"/>
        <w:ind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4.</w:t>
      </w:r>
      <w:r>
        <w:rPr>
          <w:rFonts w:hint="eastAsia" w:ascii="宋体" w:hAnsi="宋体" w:eastAsia="宋体" w:cs="宋体"/>
          <w:color w:val="auto"/>
          <w:kern w:val="0"/>
          <w:sz w:val="22"/>
          <w:szCs w:val="22"/>
        </w:rPr>
        <w:t>乙方收到上述款项前应出具合法税票，甲方未收到发票的，有权不予支付相应款项直至乙方提供合格发票，并不承担延迟付款责任。</w:t>
      </w:r>
    </w:p>
    <w:p w14:paraId="34284309">
      <w:pPr>
        <w:widowControl/>
        <w:wordWrap w:val="0"/>
        <w:snapToGrid w:val="0"/>
        <w:spacing w:line="360" w:lineRule="auto"/>
        <w:ind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5</w:t>
      </w:r>
      <w:r>
        <w:rPr>
          <w:rFonts w:hint="eastAsia" w:ascii="宋体" w:hAnsi="宋体" w:eastAsia="宋体" w:cs="宋体"/>
          <w:color w:val="auto"/>
          <w:kern w:val="0"/>
          <w:sz w:val="22"/>
          <w:szCs w:val="22"/>
        </w:rPr>
        <w:t>.由于浙江宁波接收站气价（北仑基准价）体系发生变化，无法反映市场的实际价格情况时，甲乙双方重新商量价格，以价格确认函形式确认为准。</w:t>
      </w:r>
    </w:p>
    <w:p w14:paraId="467F9B5E">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color w:val="auto"/>
          <w:kern w:val="0"/>
          <w:sz w:val="22"/>
          <w:szCs w:val="22"/>
        </w:rPr>
        <w:t xml:space="preserve">第三条 </w:t>
      </w:r>
      <w:r>
        <w:rPr>
          <w:rFonts w:hint="eastAsia" w:ascii="宋体" w:hAnsi="宋体" w:eastAsia="宋体" w:cs="宋体"/>
          <w:color w:val="auto"/>
          <w:kern w:val="0"/>
          <w:sz w:val="22"/>
          <w:szCs w:val="22"/>
        </w:rPr>
        <w:t>违约责任</w:t>
      </w:r>
    </w:p>
    <w:p w14:paraId="5F923D01">
      <w:pPr>
        <w:widowControl/>
        <w:tabs>
          <w:tab w:val="left" w:pos="312"/>
        </w:tabs>
        <w:snapToGrid w:val="0"/>
        <w:spacing w:line="360" w:lineRule="auto"/>
        <w:ind w:right="155"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1.由于乙方未及时供货造成甲方的生产损失由乙方负责，并承担相应的经济损失。</w:t>
      </w:r>
    </w:p>
    <w:p w14:paraId="6CC706D1">
      <w:pPr>
        <w:widowControl/>
        <w:tabs>
          <w:tab w:val="left" w:pos="312"/>
        </w:tabs>
        <w:snapToGrid w:val="0"/>
        <w:spacing w:line="360" w:lineRule="auto"/>
        <w:ind w:right="155" w:firstLine="220" w:firstLineChars="100"/>
        <w:jc w:val="lef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2.乙方未能及时供货，每延迟一日，乙方应按当次订单金额的万分之三向甲方支付违约金。延迟超过3日的，甲方有权从其他渠道采购，差价损失由乙方承担。</w:t>
      </w:r>
    </w:p>
    <w:p w14:paraId="7BF2CB61">
      <w:pPr>
        <w:widowControl/>
        <w:tabs>
          <w:tab w:val="left" w:pos="312"/>
        </w:tabs>
        <w:snapToGrid w:val="0"/>
        <w:spacing w:line="360" w:lineRule="auto"/>
        <w:ind w:right="155"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3.乙方提供的天然气不符合本合同第一条第（二）款约定的国家标准，造成甲方损失的，乙方应承担全部赔偿责任。</w:t>
      </w:r>
    </w:p>
    <w:p w14:paraId="666416E5">
      <w:pPr>
        <w:widowControl/>
        <w:tabs>
          <w:tab w:val="left" w:pos="312"/>
        </w:tabs>
        <w:snapToGrid w:val="0"/>
        <w:spacing w:line="360" w:lineRule="auto"/>
        <w:ind w:right="155" w:firstLine="220" w:firstLineChars="100"/>
        <w:jc w:val="lef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甲方未按时付款，乙方应书面催告。甲方在收到催告后7日内仍未支付的，乙方有权停止供货，由于货款原因所造成的损失，供方不承担任何责任，如果甲方逾期付款，则乙方需按收款额的每日万分之三收取滞纳金。</w:t>
      </w:r>
    </w:p>
    <w:p w14:paraId="77B6E9CE">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xml:space="preserve">  5.乙方在LNG运输过程中，因运输工具、驾驶员、运输操作等乙方原因发生泄漏、火灾、爆炸、交通事故等安全事件的，乙方应承担全部责任，包括但不限于：救援、清理、修复费用；对甲方、第三方造成的人身伤害及财产损失赔偿；因事件导致的政府罚款及停业损失。发生两次及以上的，甲方有权单方解除本合同。</w:t>
      </w:r>
    </w:p>
    <w:p w14:paraId="2168A176">
      <w:pPr>
        <w:keepNext w:val="0"/>
        <w:keepLines w:val="0"/>
        <w:pageBreakBefore w:val="0"/>
        <w:widowControl/>
        <w:tabs>
          <w:tab w:val="left" w:pos="312"/>
        </w:tabs>
        <w:kinsoku/>
        <w:wordWrap/>
        <w:overflowPunct/>
        <w:topLinePunct w:val="0"/>
        <w:autoSpaceDE/>
        <w:autoSpaceDN/>
        <w:bidi w:val="0"/>
        <w:adjustRightInd/>
        <w:snapToGrid w:val="0"/>
        <w:spacing w:line="360" w:lineRule="auto"/>
        <w:ind w:right="155" w:firstLine="220" w:firstLineChars="100"/>
        <w:jc w:val="left"/>
        <w:textAlignment w:val="auto"/>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mc:AlternateContent>
          <mc:Choice Requires="wps">
            <w:drawing>
              <wp:anchor distT="0" distB="0" distL="114300" distR="114300" simplePos="0" relativeHeight="251660288" behindDoc="0" locked="0" layoutInCell="1" allowOverlap="0">
                <wp:simplePos x="0" y="0"/>
                <wp:positionH relativeFrom="page">
                  <wp:posOffset>4406900</wp:posOffset>
                </wp:positionH>
                <wp:positionV relativeFrom="paragraph">
                  <wp:posOffset>165100</wp:posOffset>
                </wp:positionV>
                <wp:extent cx="11430" cy="12700"/>
                <wp:effectExtent l="0" t="0" r="0" b="0"/>
                <wp:wrapNone/>
                <wp:docPr id="9" name="任意多边形 9"/>
                <wp:cNvGraphicFramePr/>
                <a:graphic xmlns:a="http://schemas.openxmlformats.org/drawingml/2006/main">
                  <a:graphicData uri="http://schemas.microsoft.com/office/word/2010/wordprocessingShape">
                    <wps:wsp>
                      <wps:cNvSpPr/>
                      <wps:spPr>
                        <a:xfrm>
                          <a:off x="0" y="0"/>
                          <a:ext cx="11430" cy="12700"/>
                        </a:xfrm>
                        <a:custGeom>
                          <a:avLst/>
                          <a:gdLst/>
                          <a:ahLst/>
                          <a:cxnLst/>
                          <a:pathLst>
                            <a:path w="19" h="21">
                              <a:moveTo>
                                <a:pt x="1" y="6"/>
                              </a:moveTo>
                              <a:lnTo>
                                <a:pt x="17" y="0"/>
                              </a:lnTo>
                              <a:lnTo>
                                <a:pt x="17" y="0"/>
                              </a:lnTo>
                              <a:lnTo>
                                <a:pt x="17" y="0"/>
                              </a:lnTo>
                              <a:lnTo>
                                <a:pt x="17" y="0"/>
                              </a:lnTo>
                              <a:lnTo>
                                <a:pt x="19" y="0"/>
                              </a:lnTo>
                              <a:lnTo>
                                <a:pt x="19" y="0"/>
                              </a:lnTo>
                              <a:lnTo>
                                <a:pt x="19" y="0"/>
                              </a:lnTo>
                            </a:path>
                          </a:pathLst>
                        </a:custGeom>
                        <a:solidFill>
                          <a:srgbClr val="FFFFFF"/>
                        </a:solidFill>
                        <a:ln w="3810" cap="flat" cmpd="sng">
                          <a:solidFill>
                            <a:srgbClr val="000000"/>
                          </a:solidFill>
                          <a:prstDash val="solid"/>
                          <a:headEnd type="none" w="med" len="med"/>
                          <a:tailEnd type="none" w="med" len="med"/>
                        </a:ln>
                        <a:effectLst/>
                      </wps:spPr>
                      <wps:txbx>
                        <w:txbxContent>
                          <w:p w14:paraId="5C08A16A">
                            <w:pPr>
                              <w:widowControl/>
                              <w:wordWrap w:val="0"/>
                              <w:rPr>
                                <w:rFonts w:ascii="宋体" w:hAnsi="宋体" w:eastAsia="宋体" w:cs="Times New Roman"/>
                                <w:kern w:val="0"/>
                                <w:sz w:val="20"/>
                                <w:szCs w:val="20"/>
                              </w:rPr>
                            </w:pPr>
                          </w:p>
                          <w:p w14:paraId="5CBA3169">
                            <w:pPr>
                              <w:widowControl/>
                              <w:wordWrap w:val="0"/>
                              <w:rPr>
                                <w:rFonts w:ascii="宋体" w:hAnsi="宋体" w:eastAsia="宋体" w:cs="Times New Roman"/>
                                <w:kern w:val="0"/>
                                <w:sz w:val="20"/>
                                <w:szCs w:val="20"/>
                              </w:rPr>
                            </w:pPr>
                          </w:p>
                          <w:p w14:paraId="2A6ACED0">
                            <w:pPr>
                              <w:widowControl/>
                              <w:wordWrap w:val="0"/>
                              <w:rPr>
                                <w:rFonts w:ascii="宋体" w:hAnsi="宋体" w:eastAsia="宋体" w:cs="Times New Roman"/>
                                <w:kern w:val="0"/>
                                <w:sz w:val="20"/>
                                <w:szCs w:val="20"/>
                              </w:rPr>
                            </w:pPr>
                          </w:p>
                        </w:txbxContent>
                      </wps:txbx>
                      <wps:bodyPr lIns="88900" tIns="50800" rIns="88900" bIns="50800" anchor="ctr" anchorCtr="0" upright="1"/>
                    </wps:wsp>
                  </a:graphicData>
                </a:graphic>
              </wp:anchor>
            </w:drawing>
          </mc:Choice>
          <mc:Fallback>
            <w:pict>
              <v:shape id="_x0000_s1026" o:spid="_x0000_s1026" o:spt="100" style="position:absolute;left:0pt;margin-left:347pt;margin-top:13pt;height:1pt;width:0.9pt;mso-position-horizontal-relative:page;z-index:251660288;v-text-anchor:middle;mso-width-relative:page;mso-height-relative:page;" fillcolor="#FFFFFF" filled="t" stroked="t" coordsize="19,21" o:allowoverlap="f" o:gfxdata="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" path="m1,6l17,0,17,0,17,0,17,0,19,0,19,0,19,0e">
                <v:path textboxrect="0,0,19,21"/>
                <v:fill on="t" focussize="0,0"/>
                <v:stroke weight="0.3pt" color="#000000" joinstyle="round"/>
                <v:imagedata o:title=""/>
                <o:lock v:ext="edit" aspectratio="f"/>
                <v:textbox inset="7pt,4pt,7pt,4pt">
                  <w:txbxContent>
                    <w:p w14:paraId="5C08A16A">
                      <w:pPr>
                        <w:widowControl/>
                        <w:wordWrap w:val="0"/>
                        <w:rPr>
                          <w:rFonts w:ascii="宋体" w:hAnsi="宋体" w:eastAsia="宋体" w:cs="Times New Roman"/>
                          <w:kern w:val="0"/>
                          <w:sz w:val="20"/>
                          <w:szCs w:val="20"/>
                        </w:rPr>
                      </w:pPr>
                    </w:p>
                    <w:p w14:paraId="5CBA3169">
                      <w:pPr>
                        <w:widowControl/>
                        <w:wordWrap w:val="0"/>
                        <w:rPr>
                          <w:rFonts w:ascii="宋体" w:hAnsi="宋体" w:eastAsia="宋体" w:cs="Times New Roman"/>
                          <w:kern w:val="0"/>
                          <w:sz w:val="20"/>
                          <w:szCs w:val="20"/>
                        </w:rPr>
                      </w:pPr>
                    </w:p>
                    <w:p w14:paraId="2A6ACED0">
                      <w:pPr>
                        <w:widowControl/>
                        <w:wordWrap w:val="0"/>
                        <w:rPr>
                          <w:rFonts w:ascii="宋体" w:hAnsi="宋体" w:eastAsia="宋体" w:cs="Times New Roman"/>
                          <w:kern w:val="0"/>
                          <w:sz w:val="20"/>
                          <w:szCs w:val="20"/>
                        </w:rPr>
                      </w:pPr>
                    </w:p>
                  </w:txbxContent>
                </v:textbox>
              </v:shape>
            </w:pict>
          </mc:Fallback>
        </mc:AlternateContent>
      </w:r>
      <w:r>
        <w:rPr>
          <w:rFonts w:hint="eastAsia" w:ascii="宋体" w:hAnsi="宋体" w:eastAsia="宋体" w:cs="宋体"/>
          <w:color w:val="auto"/>
          <w:kern w:val="0"/>
          <w:sz w:val="22"/>
          <w:szCs w:val="22"/>
          <w:lang w:val="en-US" w:eastAsia="zh-CN"/>
        </w:rPr>
        <w:t>6</w:t>
      </w:r>
      <w:r>
        <w:rPr>
          <w:rFonts w:hint="eastAsia" w:ascii="宋体" w:hAnsi="宋体" w:eastAsia="宋体" w:cs="宋体"/>
          <w:color w:val="auto"/>
          <w:kern w:val="0"/>
          <w:sz w:val="22"/>
          <w:szCs w:val="22"/>
        </w:rPr>
        <w:t>.双方在合同终止前应当提前3个月通知对方是否续签合同。</w:t>
      </w:r>
    </w:p>
    <w:p w14:paraId="511861DA">
      <w:pPr>
        <w:widowControl/>
        <w:tabs>
          <w:tab w:val="left" w:pos="312"/>
        </w:tabs>
        <w:snapToGrid w:val="0"/>
        <w:spacing w:line="360" w:lineRule="auto"/>
        <w:ind w:right="155"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lang w:val="en-US" w:eastAsia="zh-CN"/>
        </w:rPr>
        <w:t>7</w:t>
      </w:r>
      <w:r>
        <w:rPr>
          <w:rFonts w:hint="eastAsia" w:ascii="宋体" w:hAnsi="宋体" w:eastAsia="宋体" w:cs="宋体"/>
          <w:color w:val="auto"/>
          <w:kern w:val="0"/>
          <w:sz w:val="22"/>
          <w:szCs w:val="22"/>
        </w:rPr>
        <w:t>.本合同自签订之日起，未经对方书面同意，一方不得将本合同的全部或部分条款透露给第三方，违约方承担由此造成的一切损失。</w:t>
      </w:r>
    </w:p>
    <w:p w14:paraId="676BF251">
      <w:pPr>
        <w:widowControl/>
        <w:wordWrap w:val="0"/>
        <w:snapToGrid w:val="0"/>
        <w:spacing w:line="360" w:lineRule="auto"/>
        <w:jc w:val="left"/>
        <w:rPr>
          <w:rFonts w:hint="eastAsia" w:ascii="宋体" w:hAnsi="宋体" w:eastAsia="宋体" w:cs="宋体"/>
          <w:color w:val="auto"/>
          <w:sz w:val="22"/>
          <w:szCs w:val="22"/>
          <w:lang w:val="en-US" w:eastAsia="zh-CN"/>
        </w:rPr>
      </w:pPr>
      <w:r>
        <w:rPr>
          <w:rFonts w:hint="eastAsia" w:ascii="宋体" w:hAnsi="宋体" w:eastAsia="宋体" w:cs="宋体"/>
          <w:b/>
          <w:color w:val="auto"/>
          <w:kern w:val="0"/>
          <w:sz w:val="22"/>
          <w:szCs w:val="22"/>
        </w:rPr>
        <w:t xml:space="preserve">第四条 </w:t>
      </w:r>
      <w:r>
        <w:rPr>
          <w:rFonts w:hint="eastAsia" w:ascii="宋体" w:hAnsi="宋体" w:eastAsia="宋体" w:cs="宋体"/>
          <w:color w:val="auto"/>
          <w:kern w:val="0"/>
          <w:sz w:val="22"/>
          <w:szCs w:val="22"/>
        </w:rPr>
        <w:t>乙方负责气化站内的设备维护，</w:t>
      </w:r>
      <w:r>
        <w:rPr>
          <w:rFonts w:hint="eastAsia" w:ascii="宋体" w:hAnsi="宋体" w:eastAsia="宋体" w:cs="宋体"/>
          <w:color w:val="auto"/>
          <w:kern w:val="0"/>
          <w:sz w:val="22"/>
          <w:szCs w:val="22"/>
          <w:lang w:val="en-US" w:eastAsia="zh-CN"/>
        </w:rPr>
        <w:t>每月维护不少于4次并出具巡查报告，</w:t>
      </w:r>
      <w:r>
        <w:rPr>
          <w:rFonts w:hint="eastAsia" w:ascii="宋体" w:hAnsi="宋体" w:eastAsia="宋体" w:cs="宋体"/>
          <w:color w:val="auto"/>
          <w:kern w:val="0"/>
          <w:sz w:val="22"/>
          <w:szCs w:val="22"/>
        </w:rPr>
        <w:t>特种设备的检测检验（包括安全阀、压力表、燃气探头、防雷报告等）由乙方负责并承担安全责任。</w:t>
      </w:r>
      <w:r>
        <w:rPr>
          <w:rFonts w:hint="eastAsia" w:ascii="宋体" w:hAnsi="宋体" w:eastAsia="宋体" w:cs="宋体"/>
          <w:color w:val="auto"/>
          <w:kern w:val="0"/>
          <w:sz w:val="22"/>
          <w:szCs w:val="22"/>
          <w:lang w:eastAsia="zh-CN"/>
        </w:rPr>
        <w:t>若因乙方维护不当导致甲方损失，甲方有权要求赔偿。</w:t>
      </w:r>
    </w:p>
    <w:p w14:paraId="6586696F">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color w:val="auto"/>
          <w:kern w:val="0"/>
          <w:sz w:val="22"/>
          <w:szCs w:val="22"/>
        </w:rPr>
        <w:t xml:space="preserve">第五条 </w:t>
      </w:r>
      <w:r>
        <w:rPr>
          <w:rFonts w:hint="eastAsia" w:ascii="宋体" w:hAnsi="宋体" w:eastAsia="宋体" w:cs="宋体"/>
          <w:color w:val="auto"/>
          <w:kern w:val="0"/>
          <w:sz w:val="22"/>
          <w:szCs w:val="22"/>
        </w:rPr>
        <w:t xml:space="preserve"> 合同有效期限</w:t>
      </w:r>
    </w:p>
    <w:p w14:paraId="1E046FFA">
      <w:pPr>
        <w:widowControl/>
        <w:wordWrap w:val="0"/>
        <w:snapToGrid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合同期限：</w:t>
      </w:r>
      <w:r>
        <w:rPr>
          <w:rFonts w:hint="eastAsia" w:ascii="宋体" w:hAnsi="宋体" w:eastAsia="宋体" w:cs="宋体"/>
          <w:color w:val="auto"/>
          <w:kern w:val="0"/>
          <w:sz w:val="22"/>
          <w:szCs w:val="22"/>
          <w:u w:val="single"/>
        </w:rPr>
        <w:t xml:space="preserve"> 2026 </w:t>
      </w:r>
      <w:r>
        <w:rPr>
          <w:rFonts w:hint="eastAsia" w:ascii="宋体" w:hAnsi="宋体" w:eastAsia="宋体" w:cs="宋体"/>
          <w:color w:val="auto"/>
          <w:kern w:val="0"/>
          <w:sz w:val="22"/>
          <w:szCs w:val="22"/>
        </w:rPr>
        <w:t>年</w:t>
      </w:r>
      <w:r>
        <w:rPr>
          <w:rFonts w:hint="eastAsia" w:ascii="宋体" w:hAnsi="宋体" w:eastAsia="宋体" w:cs="宋体"/>
          <w:color w:val="auto"/>
          <w:kern w:val="0"/>
          <w:sz w:val="22"/>
          <w:szCs w:val="22"/>
          <w:u w:val="single"/>
        </w:rPr>
        <w:t xml:space="preserve"> </w:t>
      </w:r>
      <w:r>
        <w:rPr>
          <w:rFonts w:hint="eastAsia" w:ascii="宋体" w:hAnsi="宋体" w:eastAsia="宋体" w:cs="宋体"/>
          <w:color w:val="auto"/>
          <w:kern w:val="0"/>
          <w:sz w:val="22"/>
          <w:szCs w:val="22"/>
          <w:u w:val="single"/>
          <w:lang w:val="en-US" w:eastAsia="zh-CN"/>
        </w:rPr>
        <w:t xml:space="preserve">  </w:t>
      </w:r>
      <w:r>
        <w:rPr>
          <w:rFonts w:hint="eastAsia" w:ascii="宋体" w:hAnsi="宋体" w:eastAsia="宋体" w:cs="宋体"/>
          <w:color w:val="auto"/>
          <w:kern w:val="0"/>
          <w:sz w:val="22"/>
          <w:szCs w:val="22"/>
        </w:rPr>
        <w:t>月</w:t>
      </w:r>
      <w:r>
        <w:rPr>
          <w:rFonts w:hint="eastAsia" w:ascii="宋体" w:hAnsi="宋体" w:eastAsia="宋体" w:cs="宋体"/>
          <w:color w:val="auto"/>
          <w:kern w:val="0"/>
          <w:sz w:val="22"/>
          <w:szCs w:val="22"/>
          <w:u w:val="single"/>
        </w:rPr>
        <w:t xml:space="preserve"> </w:t>
      </w:r>
      <w:r>
        <w:rPr>
          <w:rFonts w:hint="eastAsia" w:ascii="宋体" w:hAnsi="宋体" w:eastAsia="宋体" w:cs="宋体"/>
          <w:color w:val="auto"/>
          <w:kern w:val="0"/>
          <w:sz w:val="22"/>
          <w:szCs w:val="22"/>
          <w:u w:val="single"/>
          <w:lang w:val="en-US" w:eastAsia="zh-CN"/>
        </w:rPr>
        <w:t xml:space="preserve">  </w:t>
      </w:r>
      <w:r>
        <w:rPr>
          <w:rFonts w:hint="eastAsia" w:ascii="宋体" w:hAnsi="宋体" w:eastAsia="宋体" w:cs="宋体"/>
          <w:color w:val="auto"/>
          <w:kern w:val="0"/>
          <w:sz w:val="22"/>
          <w:szCs w:val="22"/>
        </w:rPr>
        <w:t>日起至</w:t>
      </w:r>
      <w:r>
        <w:rPr>
          <w:rFonts w:hint="eastAsia" w:ascii="宋体" w:hAnsi="宋体" w:eastAsia="宋体" w:cs="宋体"/>
          <w:color w:val="auto"/>
          <w:kern w:val="0"/>
          <w:sz w:val="22"/>
          <w:szCs w:val="22"/>
          <w:u w:val="single"/>
        </w:rPr>
        <w:t xml:space="preserve"> 2027</w:t>
      </w:r>
      <w:r>
        <w:rPr>
          <w:rFonts w:hint="eastAsia" w:ascii="宋体" w:hAnsi="宋体" w:eastAsia="宋体" w:cs="宋体"/>
          <w:color w:val="auto"/>
          <w:kern w:val="0"/>
          <w:sz w:val="22"/>
          <w:szCs w:val="22"/>
        </w:rPr>
        <w:t>年</w:t>
      </w:r>
      <w:r>
        <w:rPr>
          <w:rFonts w:hint="eastAsia" w:ascii="宋体" w:hAnsi="宋体" w:eastAsia="宋体" w:cs="宋体"/>
          <w:color w:val="auto"/>
          <w:kern w:val="0"/>
          <w:sz w:val="22"/>
          <w:szCs w:val="22"/>
          <w:u w:val="single"/>
        </w:rPr>
        <w:t xml:space="preserve"> </w:t>
      </w:r>
      <w:r>
        <w:rPr>
          <w:rFonts w:hint="eastAsia" w:ascii="宋体" w:hAnsi="宋体" w:eastAsia="宋体" w:cs="宋体"/>
          <w:color w:val="auto"/>
          <w:kern w:val="0"/>
          <w:sz w:val="22"/>
          <w:szCs w:val="22"/>
          <w:u w:val="single"/>
          <w:lang w:val="en-US" w:eastAsia="zh-CN"/>
        </w:rPr>
        <w:t xml:space="preserve">  </w:t>
      </w:r>
      <w:r>
        <w:rPr>
          <w:rFonts w:hint="eastAsia" w:ascii="宋体" w:hAnsi="宋体" w:eastAsia="宋体" w:cs="宋体"/>
          <w:color w:val="auto"/>
          <w:kern w:val="0"/>
          <w:sz w:val="22"/>
          <w:szCs w:val="22"/>
        </w:rPr>
        <w:t>月</w:t>
      </w:r>
      <w:r>
        <w:rPr>
          <w:rFonts w:hint="eastAsia" w:ascii="宋体" w:hAnsi="宋体" w:eastAsia="宋体" w:cs="宋体"/>
          <w:color w:val="auto"/>
          <w:kern w:val="0"/>
          <w:sz w:val="22"/>
          <w:szCs w:val="22"/>
          <w:u w:val="single"/>
        </w:rPr>
        <w:t xml:space="preserve"> </w:t>
      </w:r>
      <w:r>
        <w:rPr>
          <w:rFonts w:hint="eastAsia" w:ascii="宋体" w:hAnsi="宋体" w:eastAsia="宋体" w:cs="宋体"/>
          <w:color w:val="auto"/>
          <w:kern w:val="0"/>
          <w:sz w:val="22"/>
          <w:szCs w:val="22"/>
          <w:u w:val="single"/>
          <w:lang w:val="en-US" w:eastAsia="zh-CN"/>
        </w:rPr>
        <w:t xml:space="preserve">  </w:t>
      </w:r>
      <w:r>
        <w:rPr>
          <w:rFonts w:hint="eastAsia" w:ascii="宋体" w:hAnsi="宋体" w:eastAsia="宋体" w:cs="宋体"/>
          <w:color w:val="auto"/>
          <w:kern w:val="0"/>
          <w:sz w:val="22"/>
          <w:szCs w:val="22"/>
        </w:rPr>
        <w:t>日止。</w:t>
      </w:r>
      <w:r>
        <w:rPr>
          <w:rFonts w:hint="eastAsia" w:ascii="宋体" w:hAnsi="宋体" w:eastAsia="宋体" w:cs="宋体"/>
          <w:b w:val="0"/>
          <w:bCs/>
          <w:color w:val="auto"/>
          <w:kern w:val="2"/>
          <w:sz w:val="22"/>
          <w:szCs w:val="22"/>
          <w:highlight w:val="none"/>
          <w:lang w:val="en-US" w:eastAsia="zh-CN"/>
        </w:rPr>
        <w:t>单个合同期内，采购金额达到采购预算金额，合同自动终止</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合同期内LNG采购量预估5</w:t>
      </w:r>
      <w:r>
        <w:rPr>
          <w:rFonts w:hint="eastAsia" w:ascii="宋体" w:hAnsi="宋体" w:eastAsia="宋体" w:cs="宋体"/>
          <w:b w:val="0"/>
          <w:bCs/>
          <w:color w:val="auto"/>
          <w:kern w:val="2"/>
          <w:sz w:val="22"/>
          <w:szCs w:val="22"/>
          <w:highlight w:val="none"/>
        </w:rPr>
        <w:t>00吨</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按实际需求量为准</w:t>
      </w:r>
      <w:r>
        <w:rPr>
          <w:rFonts w:hint="eastAsia" w:ascii="宋体" w:hAnsi="宋体" w:eastAsia="宋体" w:cs="宋体"/>
          <w:b w:val="0"/>
          <w:bCs/>
          <w:color w:val="auto"/>
          <w:kern w:val="2"/>
          <w:sz w:val="22"/>
          <w:szCs w:val="22"/>
          <w:highlight w:val="none"/>
          <w:lang w:eastAsia="zh-CN"/>
        </w:rPr>
        <w:t>）</w:t>
      </w:r>
      <w:r>
        <w:rPr>
          <w:rFonts w:hint="eastAsia" w:ascii="宋体" w:hAnsi="宋体" w:eastAsia="宋体" w:cs="宋体"/>
          <w:b w:val="0"/>
          <w:bCs/>
          <w:color w:val="auto"/>
          <w:kern w:val="2"/>
          <w:sz w:val="22"/>
          <w:szCs w:val="22"/>
          <w:highlight w:val="none"/>
          <w:lang w:val="en-US" w:eastAsia="zh-CN"/>
        </w:rPr>
        <w:t>,</w:t>
      </w:r>
      <w:r>
        <w:rPr>
          <w:rFonts w:hint="eastAsia" w:ascii="宋体" w:hAnsi="宋体" w:eastAsia="宋体" w:cs="宋体"/>
          <w:b w:val="0"/>
          <w:bCs/>
          <w:color w:val="auto"/>
          <w:kern w:val="2"/>
          <w:sz w:val="22"/>
          <w:szCs w:val="22"/>
          <w:highlight w:val="none"/>
        </w:rPr>
        <w:t>具体</w:t>
      </w:r>
      <w:r>
        <w:rPr>
          <w:rFonts w:hint="eastAsia" w:ascii="宋体" w:hAnsi="宋体" w:eastAsia="宋体" w:cs="宋体"/>
          <w:b w:val="0"/>
          <w:bCs/>
          <w:color w:val="auto"/>
          <w:kern w:val="2"/>
          <w:sz w:val="22"/>
          <w:szCs w:val="22"/>
          <w:highlight w:val="none"/>
          <w:lang w:eastAsia="zh-CN"/>
        </w:rPr>
        <w:t>供货</w:t>
      </w:r>
      <w:r>
        <w:rPr>
          <w:rFonts w:hint="eastAsia" w:ascii="宋体" w:hAnsi="宋体" w:eastAsia="宋体" w:cs="宋体"/>
          <w:b w:val="0"/>
          <w:bCs/>
          <w:color w:val="auto"/>
          <w:kern w:val="2"/>
          <w:sz w:val="22"/>
          <w:szCs w:val="22"/>
          <w:highlight w:val="none"/>
        </w:rPr>
        <w:t>数量</w:t>
      </w:r>
      <w:r>
        <w:rPr>
          <w:rFonts w:hint="eastAsia" w:ascii="宋体" w:hAnsi="宋体" w:eastAsia="宋体" w:cs="宋体"/>
          <w:b w:val="0"/>
          <w:bCs/>
          <w:color w:val="auto"/>
          <w:kern w:val="2"/>
          <w:sz w:val="22"/>
          <w:szCs w:val="22"/>
          <w:highlight w:val="none"/>
          <w:lang w:eastAsia="zh-CN"/>
        </w:rPr>
        <w:t>、时间和指定接收站</w:t>
      </w:r>
      <w:r>
        <w:rPr>
          <w:rFonts w:hint="eastAsia" w:ascii="宋体" w:hAnsi="宋体" w:eastAsia="宋体" w:cs="宋体"/>
          <w:b w:val="0"/>
          <w:bCs/>
          <w:color w:val="auto"/>
          <w:kern w:val="2"/>
          <w:sz w:val="22"/>
          <w:szCs w:val="22"/>
          <w:highlight w:val="none"/>
        </w:rPr>
        <w:t>根据</w:t>
      </w:r>
      <w:r>
        <w:rPr>
          <w:rFonts w:hint="eastAsia" w:ascii="宋体" w:hAnsi="宋体" w:eastAsia="宋体" w:cs="宋体"/>
          <w:b w:val="0"/>
          <w:bCs/>
          <w:color w:val="auto"/>
          <w:kern w:val="2"/>
          <w:sz w:val="22"/>
          <w:szCs w:val="22"/>
          <w:highlight w:val="none"/>
          <w:lang w:eastAsia="zh-CN"/>
        </w:rPr>
        <w:t>采购人《供货通知单》</w:t>
      </w:r>
      <w:r>
        <w:rPr>
          <w:rFonts w:hint="eastAsia" w:ascii="宋体" w:hAnsi="宋体" w:eastAsia="宋体" w:cs="宋体"/>
          <w:b w:val="0"/>
          <w:bCs/>
          <w:color w:val="auto"/>
          <w:kern w:val="2"/>
          <w:sz w:val="22"/>
          <w:szCs w:val="22"/>
          <w:highlight w:val="none"/>
        </w:rPr>
        <w:t>情况确定。</w:t>
      </w:r>
      <w:r>
        <w:rPr>
          <w:rFonts w:hint="eastAsia" w:ascii="宋体" w:hAnsi="宋体" w:eastAsia="宋体" w:cs="宋体"/>
          <w:b w:val="0"/>
          <w:bCs/>
          <w:color w:val="auto"/>
          <w:kern w:val="2"/>
          <w:sz w:val="22"/>
          <w:szCs w:val="22"/>
          <w:highlight w:val="none"/>
          <w:lang w:val="en-US" w:eastAsia="zh-CN"/>
        </w:rPr>
        <w:t>并提供相应的气站设备及合同期内的气站维护服务。</w:t>
      </w:r>
    </w:p>
    <w:p w14:paraId="62D1C65F">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color w:val="auto"/>
          <w:kern w:val="0"/>
          <w:sz w:val="22"/>
          <w:szCs w:val="22"/>
        </w:rPr>
        <w:t xml:space="preserve">第六条 </w:t>
      </w:r>
      <w:r>
        <w:rPr>
          <w:rFonts w:hint="eastAsia" w:ascii="宋体" w:hAnsi="宋体" w:eastAsia="宋体" w:cs="宋体"/>
          <w:color w:val="auto"/>
          <w:kern w:val="0"/>
          <w:sz w:val="22"/>
          <w:szCs w:val="22"/>
        </w:rPr>
        <w:t xml:space="preserve"> 争议的解决方式</w:t>
      </w:r>
    </w:p>
    <w:p w14:paraId="7F0EE676">
      <w:pPr>
        <w:widowControl/>
        <w:wordWrap w:val="0"/>
        <w:snapToGrid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本合同在履行过程中发生的争议，由双方当事人协商解决，协商不成的，可依法向甲方所在地当地人民法院提起诉讼。</w:t>
      </w:r>
    </w:p>
    <w:p w14:paraId="121B584E">
      <w:pPr>
        <w:widowControl/>
        <w:wordWrap w:val="0"/>
        <w:snapToGrid w:val="0"/>
        <w:spacing w:line="360" w:lineRule="auto"/>
        <w:jc w:val="left"/>
        <w:rPr>
          <w:rFonts w:hint="eastAsia" w:ascii="宋体" w:hAnsi="宋体" w:eastAsia="宋体" w:cs="宋体"/>
          <w:color w:val="auto"/>
          <w:kern w:val="0"/>
          <w:sz w:val="22"/>
          <w:szCs w:val="22"/>
          <w:u w:val="single"/>
        </w:rPr>
      </w:pPr>
      <w:r>
        <w:rPr>
          <w:rFonts w:hint="eastAsia" w:ascii="宋体" w:hAnsi="宋体" w:eastAsia="宋体" w:cs="宋体"/>
          <w:b/>
          <w:color w:val="auto"/>
          <w:kern w:val="0"/>
          <w:sz w:val="22"/>
          <w:szCs w:val="22"/>
        </w:rPr>
        <w:t xml:space="preserve">第七条 </w:t>
      </w:r>
      <w:r>
        <w:rPr>
          <w:rFonts w:hint="eastAsia" w:ascii="宋体" w:hAnsi="宋体" w:eastAsia="宋体" w:cs="宋体"/>
          <w:color w:val="auto"/>
          <w:kern w:val="0"/>
          <w:sz w:val="22"/>
          <w:szCs w:val="22"/>
        </w:rPr>
        <w:t xml:space="preserve"> 合同的生效</w:t>
      </w:r>
    </w:p>
    <w:p w14:paraId="686127B5">
      <w:pPr>
        <w:widowControl/>
        <w:wordWrap w:val="0"/>
        <w:snapToGrid w:val="0"/>
        <w:spacing w:line="360" w:lineRule="auto"/>
        <w:ind w:firstLine="440" w:firstLineChars="2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本合同自双方签字盖章后生效。</w:t>
      </w:r>
    </w:p>
    <w:p w14:paraId="43F0BC5B">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bCs/>
          <w:color w:val="auto"/>
          <w:kern w:val="0"/>
          <w:sz w:val="22"/>
          <w:szCs w:val="22"/>
        </w:rPr>
        <w:t>第八条</w:t>
      </w:r>
      <w:r>
        <w:rPr>
          <w:rFonts w:hint="eastAsia" w:ascii="宋体" w:hAnsi="宋体" w:eastAsia="宋体" w:cs="宋体"/>
          <w:color w:val="auto"/>
          <w:kern w:val="0"/>
          <w:sz w:val="22"/>
          <w:szCs w:val="22"/>
        </w:rPr>
        <w:t xml:space="preserve">  本合同一式</w:t>
      </w:r>
      <w:r>
        <w:rPr>
          <w:rFonts w:hint="eastAsia" w:ascii="宋体" w:hAnsi="宋体" w:eastAsia="宋体" w:cs="宋体"/>
          <w:color w:val="auto"/>
          <w:kern w:val="0"/>
          <w:sz w:val="22"/>
          <w:szCs w:val="22"/>
          <w:u w:val="single"/>
        </w:rPr>
        <w:t xml:space="preserve">  贰   </w:t>
      </w:r>
      <w:r>
        <w:rPr>
          <w:rFonts w:hint="eastAsia" w:ascii="宋体" w:hAnsi="宋体" w:eastAsia="宋体" w:cs="宋体"/>
          <w:color w:val="auto"/>
          <w:kern w:val="0"/>
          <w:sz w:val="22"/>
          <w:szCs w:val="22"/>
        </w:rPr>
        <w:t>份，双方各</w:t>
      </w:r>
      <w:r>
        <w:rPr>
          <w:rFonts w:hint="eastAsia" w:ascii="宋体" w:hAnsi="宋体" w:eastAsia="宋体" w:cs="宋体"/>
          <w:color w:val="auto"/>
          <w:kern w:val="0"/>
          <w:sz w:val="22"/>
          <w:szCs w:val="22"/>
          <w:u w:val="single"/>
        </w:rPr>
        <w:t xml:space="preserve">   壹  </w:t>
      </w:r>
      <w:r>
        <w:rPr>
          <w:rFonts w:hint="eastAsia" w:ascii="宋体" w:hAnsi="宋体" w:eastAsia="宋体" w:cs="宋体"/>
          <w:color w:val="auto"/>
          <w:kern w:val="0"/>
          <w:sz w:val="22"/>
          <w:szCs w:val="22"/>
        </w:rPr>
        <w:t>份，具有同等法律效力。</w:t>
      </w:r>
    </w:p>
    <w:p w14:paraId="261852A0">
      <w:pPr>
        <w:widowControl/>
        <w:wordWrap w:val="0"/>
        <w:snapToGrid w:val="0"/>
        <w:spacing w:line="360" w:lineRule="auto"/>
        <w:jc w:val="left"/>
        <w:rPr>
          <w:rFonts w:hint="eastAsia" w:ascii="宋体" w:hAnsi="宋体" w:eastAsia="宋体" w:cs="宋体"/>
          <w:color w:val="auto"/>
          <w:kern w:val="0"/>
          <w:sz w:val="22"/>
          <w:szCs w:val="22"/>
        </w:rPr>
      </w:pPr>
      <w:r>
        <w:rPr>
          <w:rFonts w:hint="eastAsia" w:ascii="宋体" w:hAnsi="宋体" w:eastAsia="宋体" w:cs="宋体"/>
          <w:b/>
          <w:bCs/>
          <w:color w:val="auto"/>
          <w:kern w:val="0"/>
          <w:sz w:val="22"/>
          <w:szCs w:val="22"/>
        </w:rPr>
        <w:t xml:space="preserve">第九条 </w:t>
      </w:r>
      <w:r>
        <w:rPr>
          <w:rFonts w:hint="eastAsia" w:ascii="宋体" w:hAnsi="宋体" w:eastAsia="宋体" w:cs="宋体"/>
          <w:color w:val="auto"/>
          <w:kern w:val="0"/>
          <w:sz w:val="22"/>
          <w:szCs w:val="22"/>
        </w:rPr>
        <w:t xml:space="preserve"> 不可抗力及责任</w:t>
      </w:r>
    </w:p>
    <w:p w14:paraId="2626A1E1">
      <w:pPr>
        <w:widowControl/>
        <w:wordWrap w:val="0"/>
        <w:snapToGrid w:val="0"/>
        <w:spacing w:line="360" w:lineRule="auto"/>
        <w:ind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1.本合同所指不可抗力包括：自然灾害、战争、政府行为、管道抢修、突发事件。</w:t>
      </w:r>
    </w:p>
    <w:p w14:paraId="385A157C">
      <w:pPr>
        <w:widowControl/>
        <w:wordWrap w:val="0"/>
        <w:snapToGrid w:val="0"/>
        <w:spacing w:line="360" w:lineRule="auto"/>
        <w:ind w:firstLine="220" w:firstLineChars="1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2.因不可抗力因素双方相互免责。</w:t>
      </w:r>
    </w:p>
    <w:p w14:paraId="1E872F14">
      <w:pPr>
        <w:widowControl/>
        <w:wordWrap w:val="0"/>
        <w:snapToGrid w:val="0"/>
        <w:spacing w:line="360" w:lineRule="auto"/>
        <w:ind w:firstLine="220" w:firstLineChars="100"/>
        <w:jc w:val="left"/>
        <w:rPr>
          <w:rFonts w:hint="eastAsia" w:ascii="宋体" w:hAnsi="宋体" w:eastAsia="宋体" w:cs="宋体"/>
          <w:color w:val="auto"/>
          <w:kern w:val="0"/>
          <w:sz w:val="22"/>
          <w:szCs w:val="22"/>
        </w:rPr>
      </w:pPr>
    </w:p>
    <w:p w14:paraId="5C8197BB">
      <w:pPr>
        <w:widowControl/>
        <w:wordWrap w:val="0"/>
        <w:snapToGrid w:val="0"/>
        <w:spacing w:line="360" w:lineRule="auto"/>
        <w:ind w:firstLine="660" w:firstLineChars="300"/>
        <w:jc w:val="left"/>
        <w:rPr>
          <w:rFonts w:hint="eastAsia" w:ascii="宋体" w:hAnsi="宋体" w:eastAsia="宋体" w:cs="宋体"/>
          <w:color w:val="auto"/>
          <w:kern w:val="0"/>
          <w:sz w:val="22"/>
          <w:szCs w:val="22"/>
        </w:rPr>
      </w:pPr>
    </w:p>
    <w:p w14:paraId="0784E17B">
      <w:pPr>
        <w:widowControl/>
        <w:wordWrap w:val="0"/>
        <w:snapToGrid w:val="0"/>
        <w:spacing w:line="360" w:lineRule="auto"/>
        <w:ind w:firstLine="660" w:firstLineChars="300"/>
        <w:jc w:val="left"/>
        <w:rPr>
          <w:rFonts w:hint="eastAsia" w:ascii="宋体" w:hAnsi="宋体" w:eastAsia="宋体" w:cs="宋体"/>
          <w:color w:val="auto"/>
          <w:kern w:val="0"/>
          <w:sz w:val="22"/>
          <w:szCs w:val="22"/>
          <w:lang w:eastAsia="zh-CN"/>
        </w:rPr>
      </w:pPr>
      <w:r>
        <w:rPr>
          <w:rFonts w:hint="eastAsia" w:ascii="宋体" w:hAnsi="宋体" w:eastAsia="宋体" w:cs="宋体"/>
          <w:color w:val="auto"/>
          <w:kern w:val="0"/>
          <w:sz w:val="22"/>
          <w:szCs w:val="22"/>
          <w:lang w:eastAsia="zh-CN"/>
        </w:rPr>
        <w:t>（此页无正文）</w:t>
      </w:r>
    </w:p>
    <w:p w14:paraId="47B2B025">
      <w:pPr>
        <w:widowControl/>
        <w:wordWrap w:val="0"/>
        <w:snapToGrid w:val="0"/>
        <w:spacing w:line="360" w:lineRule="auto"/>
        <w:ind w:firstLine="660" w:firstLineChars="300"/>
        <w:jc w:val="left"/>
        <w:rPr>
          <w:rFonts w:hint="eastAsia" w:ascii="宋体" w:hAnsi="宋体" w:eastAsia="宋体" w:cs="宋体"/>
          <w:color w:val="auto"/>
          <w:kern w:val="0"/>
          <w:sz w:val="22"/>
          <w:szCs w:val="22"/>
        </w:rPr>
      </w:pPr>
    </w:p>
    <w:p w14:paraId="0B4FF99C">
      <w:pPr>
        <w:widowControl/>
        <w:wordWrap w:val="0"/>
        <w:snapToGrid w:val="0"/>
        <w:spacing w:line="360" w:lineRule="auto"/>
        <w:ind w:firstLine="660" w:firstLineChars="3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甲方代表：                         乙方代表： </w:t>
      </w:r>
    </w:p>
    <w:p w14:paraId="13A49DED">
      <w:pPr>
        <w:widowControl/>
        <w:wordWrap w:val="0"/>
        <w:snapToGrid w:val="0"/>
        <w:spacing w:line="360" w:lineRule="auto"/>
        <w:ind w:left="6993" w:hanging="6999"/>
        <w:jc w:val="left"/>
        <w:rPr>
          <w:rFonts w:hint="eastAsia" w:ascii="宋体" w:hAnsi="宋体" w:eastAsia="宋体" w:cs="宋体"/>
          <w:color w:val="auto"/>
          <w:kern w:val="0"/>
          <w:sz w:val="22"/>
          <w:szCs w:val="22"/>
        </w:rPr>
      </w:pPr>
    </w:p>
    <w:p w14:paraId="7078516D">
      <w:pPr>
        <w:widowControl/>
        <w:wordWrap w:val="0"/>
        <w:snapToGrid w:val="0"/>
        <w:spacing w:line="360" w:lineRule="auto"/>
        <w:ind w:firstLine="660" w:firstLineChars="300"/>
        <w:jc w:val="left"/>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联系电话：                         联系电话：</w:t>
      </w:r>
    </w:p>
    <w:p w14:paraId="186ACD6D">
      <w:pPr>
        <w:widowControl/>
        <w:tabs>
          <w:tab w:val="left" w:pos="1600"/>
          <w:tab w:val="left" w:pos="1920"/>
        </w:tabs>
        <w:wordWrap w:val="0"/>
        <w:snapToGrid w:val="0"/>
        <w:spacing w:line="360" w:lineRule="auto"/>
        <w:jc w:val="left"/>
        <w:rPr>
          <w:rFonts w:hint="eastAsia" w:ascii="宋体" w:hAnsi="宋体" w:eastAsia="宋体" w:cs="宋体"/>
          <w:color w:val="auto"/>
          <w:kern w:val="0"/>
          <w:sz w:val="22"/>
          <w:szCs w:val="22"/>
        </w:rPr>
      </w:pPr>
    </w:p>
    <w:p w14:paraId="1155F981">
      <w:pPr>
        <w:widowControl/>
        <w:spacing w:line="360" w:lineRule="auto"/>
        <w:jc w:val="center"/>
        <w:rPr>
          <w:rFonts w:hint="eastAsia" w:ascii="宋体" w:hAnsi="宋体" w:eastAsia="宋体" w:cs="宋体"/>
          <w:color w:val="auto"/>
          <w:kern w:val="0"/>
          <w:sz w:val="22"/>
          <w:szCs w:val="22"/>
        </w:rPr>
      </w:pPr>
      <w:r>
        <w:rPr>
          <w:rFonts w:hint="eastAsia" w:ascii="宋体" w:hAnsi="宋体" w:eastAsia="宋体" w:cs="宋体"/>
          <w:color w:val="auto"/>
          <w:kern w:val="0"/>
          <w:sz w:val="22"/>
          <w:szCs w:val="22"/>
        </w:rPr>
        <w:t xml:space="preserve">                         日期： 20</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年 </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 xml:space="preserve"> 月</w:t>
      </w:r>
      <w:r>
        <w:rPr>
          <w:rFonts w:hint="eastAsia" w:ascii="宋体" w:hAnsi="宋体" w:eastAsia="宋体" w:cs="宋体"/>
          <w:color w:val="auto"/>
          <w:kern w:val="0"/>
          <w:sz w:val="22"/>
          <w:szCs w:val="22"/>
          <w:lang w:val="en-US" w:eastAsia="zh-CN"/>
        </w:rPr>
        <w:t xml:space="preserve">  </w:t>
      </w:r>
      <w:r>
        <w:rPr>
          <w:rFonts w:hint="eastAsia" w:ascii="宋体" w:hAnsi="宋体" w:eastAsia="宋体" w:cs="宋体"/>
          <w:color w:val="auto"/>
          <w:kern w:val="0"/>
          <w:sz w:val="22"/>
          <w:szCs w:val="22"/>
        </w:rPr>
        <w:t>日</w:t>
      </w:r>
    </w:p>
    <w:p w14:paraId="05108949">
      <w:pPr>
        <w:rPr>
          <w:rFonts w:hint="eastAsia" w:ascii="宋体" w:hAnsi="宋体" w:eastAsia="宋体" w:cs="宋体"/>
          <w:color w:val="auto"/>
          <w:sz w:val="36"/>
          <w:szCs w:val="36"/>
          <w:highlight w:val="none"/>
        </w:rPr>
      </w:pPr>
    </w:p>
    <w:p w14:paraId="73DDFA22">
      <w:pP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br w:type="page"/>
      </w:r>
    </w:p>
    <w:p w14:paraId="2BE3597E">
      <w:pPr>
        <w:pStyle w:val="14"/>
        <w:wordWrap w:val="0"/>
        <w:adjustRightInd w:val="0"/>
        <w:snapToGrid w:val="0"/>
        <w:spacing w:line="360" w:lineRule="auto"/>
        <w:jc w:val="center"/>
        <w:outlineLvl w:val="0"/>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第</w:t>
      </w:r>
      <w:r>
        <w:rPr>
          <w:rFonts w:hint="eastAsia" w:ascii="宋体" w:hAnsi="宋体" w:eastAsia="宋体" w:cs="宋体"/>
          <w:color w:val="auto"/>
          <w:sz w:val="36"/>
          <w:szCs w:val="36"/>
          <w:highlight w:val="none"/>
          <w:lang w:val="en-US" w:eastAsia="zh-CN"/>
        </w:rPr>
        <w:t>五</w:t>
      </w:r>
      <w:r>
        <w:rPr>
          <w:rFonts w:hint="eastAsia" w:ascii="宋体" w:hAnsi="宋体" w:eastAsia="宋体" w:cs="宋体"/>
          <w:color w:val="auto"/>
          <w:sz w:val="36"/>
          <w:szCs w:val="36"/>
          <w:highlight w:val="none"/>
        </w:rPr>
        <w:t>部分 附件—投标文件格式</w:t>
      </w:r>
      <w:bookmarkEnd w:id="54"/>
    </w:p>
    <w:p w14:paraId="5546C4E2">
      <w:pPr>
        <w:pStyle w:val="14"/>
        <w:wordWrap w:val="0"/>
        <w:adjustRightInd w:val="0"/>
        <w:snapToGrid w:val="0"/>
        <w:spacing w:line="360" w:lineRule="auto"/>
        <w:rPr>
          <w:rFonts w:hint="eastAsia" w:ascii="宋体" w:hAnsi="宋体" w:eastAsia="宋体" w:cs="宋体"/>
          <w:color w:val="auto"/>
          <w:sz w:val="30"/>
          <w:highlight w:val="none"/>
        </w:rPr>
      </w:pPr>
    </w:p>
    <w:p w14:paraId="07D1DC9E">
      <w:pPr>
        <w:wordWrap w:val="0"/>
        <w:snapToGrid w:val="0"/>
        <w:spacing w:line="360" w:lineRule="auto"/>
        <w:jc w:val="center"/>
        <w:rPr>
          <w:rFonts w:hint="eastAsia" w:ascii="宋体" w:hAnsi="宋体" w:eastAsia="宋体" w:cs="宋体"/>
          <w:color w:val="auto"/>
          <w:sz w:val="36"/>
          <w:highlight w:val="none"/>
        </w:rPr>
      </w:pPr>
      <w:r>
        <w:rPr>
          <w:rFonts w:hint="eastAsia" w:ascii="宋体" w:hAnsi="宋体" w:eastAsia="宋体" w:cs="宋体"/>
          <w:color w:val="auto"/>
          <w:sz w:val="36"/>
          <w:highlight w:val="none"/>
        </w:rPr>
        <w:t>（未提供格式的由供应商自拟）</w:t>
      </w:r>
    </w:p>
    <w:p w14:paraId="1DA4DCA1">
      <w:pPr>
        <w:wordWrap w:val="0"/>
        <w:spacing w:line="360" w:lineRule="auto"/>
        <w:ind w:firstLine="424" w:firstLineChars="151"/>
        <w:rPr>
          <w:rFonts w:hint="eastAsia" w:ascii="宋体" w:hAnsi="宋体" w:eastAsia="宋体" w:cs="宋体"/>
          <w:b/>
          <w:color w:val="auto"/>
          <w:sz w:val="28"/>
          <w:szCs w:val="22"/>
          <w:highlight w:val="none"/>
        </w:rPr>
      </w:pPr>
    </w:p>
    <w:p w14:paraId="2626128F">
      <w:pPr>
        <w:wordWrap w:val="0"/>
        <w:spacing w:line="360" w:lineRule="auto"/>
        <w:ind w:firstLine="424" w:firstLineChars="151"/>
        <w:rPr>
          <w:rFonts w:hint="eastAsia" w:ascii="宋体" w:hAnsi="宋体" w:eastAsia="宋体" w:cs="宋体"/>
          <w:b/>
          <w:color w:val="auto"/>
          <w:sz w:val="28"/>
          <w:szCs w:val="22"/>
          <w:highlight w:val="none"/>
        </w:rPr>
      </w:pPr>
    </w:p>
    <w:p w14:paraId="0EEE5497">
      <w:pPr>
        <w:wordWrap w:val="0"/>
        <w:spacing w:line="360" w:lineRule="auto"/>
        <w:ind w:firstLine="424" w:firstLineChars="151"/>
        <w:rPr>
          <w:rFonts w:hint="eastAsia" w:ascii="宋体" w:hAnsi="宋体" w:eastAsia="宋体" w:cs="宋体"/>
          <w:b/>
          <w:color w:val="auto"/>
          <w:sz w:val="28"/>
          <w:szCs w:val="22"/>
          <w:highlight w:val="none"/>
          <w:u w:val="single"/>
          <w:lang w:eastAsia="zh-CN"/>
        </w:rPr>
      </w:pPr>
      <w:r>
        <w:rPr>
          <w:rFonts w:hint="eastAsia" w:ascii="宋体" w:hAnsi="宋体" w:eastAsia="宋体" w:cs="宋体"/>
          <w:b/>
          <w:color w:val="auto"/>
          <w:sz w:val="28"/>
          <w:szCs w:val="22"/>
          <w:highlight w:val="none"/>
        </w:rPr>
        <w:t>重要提示</w:t>
      </w:r>
      <w:r>
        <w:rPr>
          <w:rFonts w:hint="eastAsia" w:ascii="宋体" w:hAnsi="宋体" w:eastAsia="宋体" w:cs="宋体"/>
          <w:b/>
          <w:color w:val="auto"/>
          <w:sz w:val="28"/>
          <w:szCs w:val="22"/>
          <w:highlight w:val="none"/>
          <w:lang w:eastAsia="zh-CN"/>
        </w:rPr>
        <w:t>：</w:t>
      </w:r>
    </w:p>
    <w:p w14:paraId="134F59F6">
      <w:pPr>
        <w:wordWrap w:val="0"/>
        <w:spacing w:line="360" w:lineRule="auto"/>
        <w:ind w:firstLine="424" w:firstLineChars="151"/>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（1）</w:t>
      </w:r>
      <w:r>
        <w:rPr>
          <w:rFonts w:hint="eastAsia" w:ascii="宋体" w:hAnsi="宋体" w:eastAsia="宋体" w:cs="宋体"/>
          <w:b/>
          <w:color w:val="auto"/>
          <w:sz w:val="28"/>
          <w:szCs w:val="28"/>
          <w:highlight w:val="none"/>
          <w:u w:val="single"/>
        </w:rPr>
        <w:t>本章节中有提供格式的，供应商可参照本章节提供的格式进行编制（格式中要求提供相关证明材料的还需后附相关证明材料）。并按格式要求在指定位置根据要求进行电子签章，否则视为未提供；</w:t>
      </w:r>
    </w:p>
    <w:p w14:paraId="7C5B2D60">
      <w:pPr>
        <w:wordWrap w:val="0"/>
        <w:spacing w:line="360" w:lineRule="auto"/>
        <w:ind w:firstLine="424" w:firstLineChars="151"/>
        <w:rPr>
          <w:rFonts w:hint="eastAsia" w:ascii="宋体" w:hAnsi="宋体" w:eastAsia="宋体" w:cs="宋体"/>
          <w:b/>
          <w:color w:val="auto"/>
          <w:sz w:val="28"/>
          <w:szCs w:val="28"/>
          <w:highlight w:val="none"/>
          <w:u w:val="single"/>
        </w:rPr>
      </w:pPr>
      <w:r>
        <w:rPr>
          <w:rFonts w:hint="eastAsia" w:ascii="宋体" w:hAnsi="宋体" w:eastAsia="宋体" w:cs="宋体"/>
          <w:b/>
          <w:color w:val="auto"/>
          <w:sz w:val="28"/>
          <w:szCs w:val="28"/>
          <w:highlight w:val="none"/>
        </w:rPr>
        <w:t>（2）</w:t>
      </w:r>
      <w:r>
        <w:rPr>
          <w:rFonts w:hint="eastAsia" w:ascii="宋体" w:hAnsi="宋体" w:eastAsia="宋体" w:cs="宋体"/>
          <w:b/>
          <w:color w:val="auto"/>
          <w:sz w:val="28"/>
          <w:szCs w:val="28"/>
          <w:highlight w:val="none"/>
          <w:u w:val="single"/>
        </w:rPr>
        <w:t>本章节未提供格式的，请各投标单位自行拟定格式，并加盖单位公章并由法定代表人或其授权代表签署（签字或签章），否则视为未提供；</w:t>
      </w:r>
    </w:p>
    <w:p w14:paraId="4190A805">
      <w:pPr>
        <w:pStyle w:val="3"/>
        <w:wordWrap w:val="0"/>
        <w:spacing w:before="0" w:after="0" w:line="360" w:lineRule="auto"/>
        <w:rPr>
          <w:rFonts w:hint="eastAsia" w:ascii="宋体" w:hAnsi="宋体" w:eastAsia="宋体" w:cs="宋体"/>
          <w:color w:val="auto"/>
          <w:highlight w:val="none"/>
        </w:rPr>
      </w:pPr>
      <w:bookmarkStart w:id="56" w:name="_Toc24550049"/>
      <w:bookmarkStart w:id="57" w:name="_Toc30408914"/>
    </w:p>
    <w:p w14:paraId="3ED9FCA7">
      <w:pPr>
        <w:pStyle w:val="3"/>
        <w:wordWrap w:val="0"/>
        <w:spacing w:before="0" w:after="0" w:line="360" w:lineRule="auto"/>
        <w:rPr>
          <w:rFonts w:hint="eastAsia" w:ascii="宋体" w:hAnsi="宋体" w:eastAsia="宋体" w:cs="宋体"/>
          <w:color w:val="auto"/>
          <w:highlight w:val="none"/>
        </w:rPr>
      </w:pPr>
    </w:p>
    <w:p w14:paraId="13EE68D9">
      <w:pPr>
        <w:pStyle w:val="3"/>
        <w:wordWrap w:val="0"/>
        <w:spacing w:before="0" w:after="0" w:line="360" w:lineRule="auto"/>
        <w:rPr>
          <w:rFonts w:hint="eastAsia" w:ascii="宋体" w:hAnsi="宋体" w:eastAsia="宋体" w:cs="宋体"/>
          <w:color w:val="auto"/>
          <w:highlight w:val="none"/>
        </w:rPr>
      </w:pPr>
    </w:p>
    <w:p w14:paraId="4E65B0B4">
      <w:pPr>
        <w:pStyle w:val="3"/>
        <w:wordWrap w:val="0"/>
        <w:spacing w:before="0" w:after="0" w:line="360" w:lineRule="auto"/>
        <w:rPr>
          <w:rFonts w:hint="eastAsia" w:ascii="宋体" w:hAnsi="宋体" w:eastAsia="宋体" w:cs="宋体"/>
          <w:color w:val="auto"/>
          <w:highlight w:val="none"/>
        </w:rPr>
      </w:pPr>
    </w:p>
    <w:p w14:paraId="06C5FFE0">
      <w:pPr>
        <w:pStyle w:val="3"/>
        <w:wordWrap w:val="0"/>
        <w:spacing w:before="0" w:after="0" w:line="360" w:lineRule="auto"/>
        <w:rPr>
          <w:rFonts w:hint="eastAsia" w:ascii="宋体" w:hAnsi="宋体" w:eastAsia="宋体" w:cs="宋体"/>
          <w:color w:val="auto"/>
          <w:highlight w:val="none"/>
        </w:rPr>
      </w:pPr>
    </w:p>
    <w:p w14:paraId="04E0F353">
      <w:pPr>
        <w:wordWrap w:val="0"/>
        <w:spacing w:line="360" w:lineRule="auto"/>
        <w:rPr>
          <w:rFonts w:hint="eastAsia" w:ascii="宋体" w:hAnsi="宋体" w:eastAsia="宋体" w:cs="宋体"/>
          <w:color w:val="auto"/>
          <w:highlight w:val="none"/>
        </w:rPr>
      </w:pPr>
    </w:p>
    <w:p w14:paraId="396DBED9">
      <w:pPr>
        <w:pStyle w:val="56"/>
        <w:wordWrap w:val="0"/>
        <w:spacing w:line="360" w:lineRule="auto"/>
        <w:rPr>
          <w:rFonts w:hint="eastAsia" w:ascii="宋体" w:hAnsi="宋体" w:eastAsia="宋体" w:cs="宋体"/>
          <w:color w:val="auto"/>
          <w:highlight w:val="none"/>
        </w:rPr>
      </w:pPr>
    </w:p>
    <w:p w14:paraId="611C91B7">
      <w:pPr>
        <w:pStyle w:val="9"/>
        <w:wordWrap w:val="0"/>
        <w:spacing w:line="360" w:lineRule="auto"/>
        <w:rPr>
          <w:rFonts w:hint="eastAsia" w:ascii="宋体" w:hAnsi="宋体" w:eastAsia="宋体" w:cs="宋体"/>
          <w:color w:val="auto"/>
          <w:highlight w:val="none"/>
        </w:rPr>
      </w:pPr>
    </w:p>
    <w:p w14:paraId="33519102">
      <w:pPr>
        <w:pStyle w:val="3"/>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58" w:name="_Toc6691"/>
      <w:bookmarkStart w:id="59" w:name="_Toc1557"/>
      <w:bookmarkStart w:id="60" w:name="_Toc26323"/>
      <w:bookmarkStart w:id="61" w:name="_Toc27639"/>
      <w:bookmarkStart w:id="62" w:name="_Toc5210"/>
      <w:r>
        <w:rPr>
          <w:rFonts w:hint="eastAsia" w:ascii="宋体" w:hAnsi="宋体" w:eastAsia="宋体" w:cs="宋体"/>
          <w:color w:val="auto"/>
          <w:highlight w:val="none"/>
        </w:rPr>
        <w:t>一、“资格文件”格式</w:t>
      </w:r>
      <w:bookmarkEnd w:id="56"/>
      <w:bookmarkEnd w:id="57"/>
      <w:bookmarkEnd w:id="58"/>
      <w:bookmarkEnd w:id="59"/>
      <w:bookmarkEnd w:id="60"/>
      <w:bookmarkEnd w:id="61"/>
      <w:bookmarkEnd w:id="62"/>
    </w:p>
    <w:p w14:paraId="76D40F04">
      <w:pPr>
        <w:pStyle w:val="4"/>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1.1 “资格文件”封面</w:t>
      </w:r>
    </w:p>
    <w:p w14:paraId="2BDB16FD">
      <w:pPr>
        <w:wordWrap w:val="0"/>
        <w:spacing w:line="360" w:lineRule="auto"/>
        <w:jc w:val="right"/>
        <w:rPr>
          <w:rFonts w:hint="eastAsia" w:ascii="宋体" w:hAnsi="宋体" w:eastAsia="宋体" w:cs="宋体"/>
          <w:b/>
          <w:color w:val="auto"/>
          <w:sz w:val="32"/>
          <w:szCs w:val="22"/>
          <w:highlight w:val="none"/>
        </w:rPr>
      </w:pPr>
    </w:p>
    <w:p w14:paraId="20541790">
      <w:pPr>
        <w:pStyle w:val="56"/>
        <w:wordWrap w:val="0"/>
        <w:spacing w:line="360" w:lineRule="auto"/>
        <w:jc w:val="center"/>
        <w:rPr>
          <w:rFonts w:hint="eastAsia" w:ascii="宋体" w:hAnsi="宋体" w:eastAsia="宋体" w:cs="宋体"/>
          <w:color w:val="auto"/>
          <w:highlight w:val="none"/>
          <w:lang w:eastAsia="zh-CN"/>
        </w:rPr>
      </w:pPr>
      <w:r>
        <w:rPr>
          <w:rFonts w:hint="eastAsia" w:ascii="宋体" w:hAnsi="宋体" w:cs="宋体"/>
          <w:color w:val="auto"/>
          <w:sz w:val="52"/>
          <w:szCs w:val="18"/>
          <w:highlight w:val="none"/>
          <w:lang w:eastAsia="zh-CN"/>
        </w:rPr>
        <w:t>2026年度采购雁荡山君澜度假酒店液化天然气（LNG）、运输及天然气站维护服务采购</w:t>
      </w:r>
    </w:p>
    <w:p w14:paraId="155C3E21">
      <w:pPr>
        <w:wordWrap w:val="0"/>
        <w:spacing w:line="360" w:lineRule="auto"/>
        <w:jc w:val="center"/>
        <w:rPr>
          <w:rFonts w:hint="eastAsia" w:ascii="宋体" w:hAnsi="宋体" w:eastAsia="宋体" w:cs="宋体"/>
          <w:b/>
          <w:color w:val="auto"/>
          <w:sz w:val="52"/>
          <w:szCs w:val="22"/>
          <w:highlight w:val="none"/>
        </w:rPr>
      </w:pPr>
    </w:p>
    <w:p w14:paraId="3B92EB66">
      <w:pPr>
        <w:wordWrap w:val="0"/>
        <w:spacing w:line="360" w:lineRule="auto"/>
        <w:jc w:val="center"/>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3B5CA8FF">
      <w:pPr>
        <w:wordWrap w:val="0"/>
        <w:spacing w:line="360" w:lineRule="auto"/>
        <w:jc w:val="center"/>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（资格文件）</w:t>
      </w:r>
    </w:p>
    <w:p w14:paraId="149CD8BC">
      <w:pPr>
        <w:wordWrap w:val="0"/>
        <w:spacing w:line="360" w:lineRule="auto"/>
        <w:jc w:val="center"/>
        <w:rPr>
          <w:rFonts w:hint="eastAsia" w:ascii="宋体" w:hAnsi="宋体" w:eastAsia="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0AF1EAF2">
        <w:tblPrEx>
          <w:tblCellMar>
            <w:top w:w="0" w:type="dxa"/>
            <w:left w:w="108" w:type="dxa"/>
            <w:bottom w:w="0" w:type="dxa"/>
            <w:right w:w="108" w:type="dxa"/>
          </w:tblCellMar>
        </w:tblPrEx>
        <w:trPr>
          <w:trHeight w:val="680" w:hRule="atLeast"/>
        </w:trPr>
        <w:tc>
          <w:tcPr>
            <w:tcW w:w="8789" w:type="dxa"/>
            <w:vAlign w:val="center"/>
          </w:tcPr>
          <w:p w14:paraId="21BDE9F3">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sz w:val="28"/>
                <w:szCs w:val="28"/>
                <w:highlight w:val="none"/>
                <w:lang w:eastAsia="zh-CN"/>
              </w:rPr>
              <w:t>：</w:t>
            </w:r>
            <w:r>
              <w:rPr>
                <w:rFonts w:hint="eastAsia" w:ascii="宋体" w:hAnsi="宋体" w:cs="宋体"/>
                <w:b/>
                <w:color w:val="auto"/>
                <w:sz w:val="28"/>
                <w:szCs w:val="28"/>
                <w:highlight w:val="none"/>
                <w:lang w:eastAsia="zh-CN"/>
              </w:rPr>
              <w:t>PYCG260608076</w:t>
            </w:r>
            <w:r>
              <w:rPr>
                <w:rFonts w:hint="eastAsia" w:ascii="宋体" w:hAnsi="宋体" w:eastAsia="宋体" w:cs="宋体"/>
                <w:b/>
                <w:color w:val="auto"/>
                <w:sz w:val="28"/>
                <w:szCs w:val="28"/>
                <w:highlight w:val="none"/>
              </w:rPr>
              <w:t xml:space="preserve">   </w:t>
            </w:r>
          </w:p>
        </w:tc>
      </w:tr>
      <w:tr w14:paraId="4AD80F8E">
        <w:tblPrEx>
          <w:tblCellMar>
            <w:top w:w="0" w:type="dxa"/>
            <w:left w:w="108" w:type="dxa"/>
            <w:bottom w:w="0" w:type="dxa"/>
            <w:right w:w="108" w:type="dxa"/>
          </w:tblCellMar>
        </w:tblPrEx>
        <w:trPr>
          <w:trHeight w:val="680" w:hRule="atLeast"/>
        </w:trPr>
        <w:tc>
          <w:tcPr>
            <w:tcW w:w="8789" w:type="dxa"/>
            <w:vAlign w:val="center"/>
          </w:tcPr>
          <w:p w14:paraId="646ABFAF">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w:t>
            </w:r>
          </w:p>
        </w:tc>
      </w:tr>
      <w:tr w14:paraId="15020267">
        <w:tblPrEx>
          <w:tblCellMar>
            <w:top w:w="0" w:type="dxa"/>
            <w:left w:w="108" w:type="dxa"/>
            <w:bottom w:w="0" w:type="dxa"/>
            <w:right w:w="108" w:type="dxa"/>
          </w:tblCellMar>
        </w:tblPrEx>
        <w:trPr>
          <w:trHeight w:val="680" w:hRule="atLeast"/>
        </w:trPr>
        <w:tc>
          <w:tcPr>
            <w:tcW w:w="8789" w:type="dxa"/>
            <w:vAlign w:val="center"/>
          </w:tcPr>
          <w:p w14:paraId="77175651">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w:t>
            </w:r>
          </w:p>
        </w:tc>
      </w:tr>
      <w:tr w14:paraId="2E123A15">
        <w:tblPrEx>
          <w:tblCellMar>
            <w:top w:w="0" w:type="dxa"/>
            <w:left w:w="108" w:type="dxa"/>
            <w:bottom w:w="0" w:type="dxa"/>
            <w:right w:w="108" w:type="dxa"/>
          </w:tblCellMar>
        </w:tblPrEx>
        <w:trPr>
          <w:trHeight w:val="680" w:hRule="atLeast"/>
        </w:trPr>
        <w:tc>
          <w:tcPr>
            <w:tcW w:w="8789" w:type="dxa"/>
            <w:vAlign w:val="center"/>
          </w:tcPr>
          <w:p w14:paraId="215B6135">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法定代表人或其授权代表（签字或签章）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w:t>
            </w:r>
          </w:p>
        </w:tc>
      </w:tr>
      <w:tr w14:paraId="31AA83CB">
        <w:tblPrEx>
          <w:tblCellMar>
            <w:top w:w="0" w:type="dxa"/>
            <w:left w:w="108" w:type="dxa"/>
            <w:bottom w:w="0" w:type="dxa"/>
            <w:right w:w="108" w:type="dxa"/>
          </w:tblCellMar>
        </w:tblPrEx>
        <w:trPr>
          <w:trHeight w:val="680" w:hRule="atLeast"/>
        </w:trPr>
        <w:tc>
          <w:tcPr>
            <w:tcW w:w="8789" w:type="dxa"/>
            <w:vAlign w:val="center"/>
          </w:tcPr>
          <w:p w14:paraId="3FCE4FCC">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__________________________________________________________</w:t>
            </w:r>
          </w:p>
        </w:tc>
      </w:tr>
    </w:tbl>
    <w:p w14:paraId="05825512">
      <w:pPr>
        <w:pStyle w:val="4"/>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1.2供应商资格审查声明函</w:t>
      </w:r>
    </w:p>
    <w:p w14:paraId="73B5F8E1">
      <w:pPr>
        <w:wordWrap w:val="0"/>
        <w:spacing w:line="360" w:lineRule="auto"/>
        <w:jc w:val="center"/>
        <w:rPr>
          <w:rFonts w:hint="eastAsia" w:ascii="宋体" w:hAnsi="宋体" w:eastAsia="宋体" w:cs="宋体"/>
          <w:b/>
          <w:color w:val="auto"/>
          <w:sz w:val="44"/>
          <w:szCs w:val="44"/>
          <w:highlight w:val="none"/>
        </w:rPr>
      </w:pPr>
    </w:p>
    <w:p w14:paraId="7DA6D395">
      <w:pPr>
        <w:wordWrap w:val="0"/>
        <w:spacing w:line="360" w:lineRule="auto"/>
        <w:jc w:val="center"/>
        <w:rPr>
          <w:rFonts w:hint="eastAsia" w:ascii="宋体" w:hAnsi="宋体" w:eastAsia="宋体" w:cs="宋体"/>
          <w:color w:val="auto"/>
          <w:highlight w:val="none"/>
        </w:rPr>
      </w:pPr>
      <w:r>
        <w:rPr>
          <w:rFonts w:hint="eastAsia" w:ascii="宋体" w:hAnsi="宋体" w:eastAsia="宋体" w:cs="宋体"/>
          <w:b/>
          <w:color w:val="auto"/>
          <w:sz w:val="44"/>
          <w:szCs w:val="44"/>
          <w:highlight w:val="none"/>
        </w:rPr>
        <w:t>供应商资格审查声明函</w:t>
      </w:r>
    </w:p>
    <w:p w14:paraId="11756D75">
      <w:pPr>
        <w:wordWrap w:val="0"/>
        <w:spacing w:line="360" w:lineRule="auto"/>
        <w:rPr>
          <w:rFonts w:hint="eastAsia" w:ascii="宋体" w:hAnsi="宋体" w:eastAsia="宋体" w:cs="宋体"/>
          <w:color w:val="auto"/>
          <w:highlight w:val="none"/>
        </w:rPr>
      </w:pPr>
    </w:p>
    <w:p w14:paraId="629E49B0">
      <w:pPr>
        <w:wordWrap w:val="0"/>
        <w:spacing w:line="360" w:lineRule="auto"/>
        <w:rPr>
          <w:rFonts w:hint="eastAsia" w:ascii="宋体" w:hAnsi="宋体" w:eastAsia="宋体" w:cs="宋体"/>
          <w:b/>
          <w:color w:val="auto"/>
          <w:w w:val="90"/>
          <w:sz w:val="28"/>
          <w:szCs w:val="22"/>
          <w:highlight w:val="none"/>
          <w:u w:val="single"/>
        </w:rPr>
      </w:pPr>
    </w:p>
    <w:p w14:paraId="0A582C03">
      <w:pPr>
        <w:wordWrap w:val="0"/>
        <w:spacing w:line="360" w:lineRule="auto"/>
        <w:rPr>
          <w:rFonts w:hint="eastAsia" w:ascii="宋体" w:hAnsi="宋体" w:eastAsia="宋体" w:cs="宋体"/>
          <w:b/>
          <w:color w:val="auto"/>
          <w:sz w:val="32"/>
          <w:szCs w:val="28"/>
          <w:highlight w:val="none"/>
          <w:u w:val="single"/>
          <w:lang w:eastAsia="zh-CN"/>
        </w:rPr>
      </w:pPr>
      <w:r>
        <w:rPr>
          <w:rFonts w:hint="eastAsia" w:ascii="宋体" w:hAnsi="宋体" w:eastAsia="宋体" w:cs="宋体"/>
          <w:b/>
          <w:color w:val="auto"/>
          <w:sz w:val="32"/>
          <w:szCs w:val="28"/>
          <w:highlight w:val="none"/>
          <w:u w:val="single"/>
          <w:lang w:eastAsia="zh-CN"/>
        </w:rPr>
        <w:t>平阳县青澜酒店管理有限公司</w:t>
      </w:r>
      <w:r>
        <w:rPr>
          <w:rFonts w:hint="eastAsia" w:ascii="宋体" w:hAnsi="宋体" w:eastAsia="宋体" w:cs="宋体"/>
          <w:b/>
          <w:color w:val="auto"/>
          <w:sz w:val="32"/>
          <w:szCs w:val="28"/>
          <w:highlight w:val="none"/>
          <w:u w:val="single"/>
        </w:rPr>
        <w:t xml:space="preserve"> </w:t>
      </w:r>
      <w:r>
        <w:rPr>
          <w:rFonts w:hint="eastAsia" w:ascii="宋体" w:hAnsi="宋体" w:eastAsia="宋体" w:cs="宋体"/>
          <w:b/>
          <w:color w:val="auto"/>
          <w:w w:val="90"/>
          <w:sz w:val="28"/>
          <w:szCs w:val="22"/>
          <w:highlight w:val="none"/>
          <w:u w:val="single"/>
          <w:lang w:eastAsia="zh-CN"/>
        </w:rPr>
        <w:t>：</w:t>
      </w:r>
    </w:p>
    <w:p w14:paraId="4156A6FC">
      <w:pPr>
        <w:wordWrap w:val="0"/>
        <w:spacing w:line="360" w:lineRule="auto"/>
        <w:rPr>
          <w:rFonts w:hint="eastAsia" w:ascii="宋体" w:hAnsi="宋体" w:eastAsia="宋体" w:cs="宋体"/>
          <w:color w:val="auto"/>
          <w:sz w:val="32"/>
          <w:szCs w:val="28"/>
          <w:highlight w:val="none"/>
        </w:rPr>
      </w:pPr>
    </w:p>
    <w:p w14:paraId="6E70BF0D">
      <w:pPr>
        <w:wordWrap w:val="0"/>
        <w:spacing w:line="360" w:lineRule="auto"/>
        <w:ind w:firstLine="560" w:firstLineChars="200"/>
        <w:rPr>
          <w:rFonts w:hint="eastAsia" w:ascii="宋体" w:hAnsi="宋体" w:eastAsia="宋体" w:cs="宋体"/>
          <w:color w:val="auto"/>
          <w:sz w:val="28"/>
          <w:szCs w:val="22"/>
          <w:highlight w:val="none"/>
        </w:rPr>
      </w:pPr>
      <w:r>
        <w:rPr>
          <w:rFonts w:hint="eastAsia" w:ascii="宋体" w:hAnsi="宋体" w:eastAsia="宋体" w:cs="宋体"/>
          <w:color w:val="auto"/>
          <w:sz w:val="28"/>
          <w:szCs w:val="22"/>
          <w:highlight w:val="none"/>
        </w:rPr>
        <w:t>我公司郑重声明，我公司参加</w:t>
      </w:r>
      <w:r>
        <w:rPr>
          <w:rFonts w:hint="eastAsia" w:ascii="宋体" w:hAnsi="宋体" w:cs="宋体"/>
          <w:b/>
          <w:color w:val="auto"/>
          <w:sz w:val="28"/>
          <w:szCs w:val="22"/>
          <w:highlight w:val="none"/>
          <w:u w:val="single"/>
          <w:lang w:eastAsia="zh-CN"/>
        </w:rPr>
        <w:t>2026年度采购雁荡山君澜度假酒店液化天然气（LNG）、运输及天然气站维护服务采购</w:t>
      </w:r>
      <w:r>
        <w:rPr>
          <w:rFonts w:hint="eastAsia" w:ascii="宋体" w:hAnsi="宋体" w:eastAsia="宋体" w:cs="宋体"/>
          <w:b/>
          <w:color w:val="auto"/>
          <w:sz w:val="28"/>
          <w:szCs w:val="22"/>
          <w:highlight w:val="none"/>
          <w:u w:val="single"/>
        </w:rPr>
        <w:t>（项目编号</w:t>
      </w:r>
      <w:r>
        <w:rPr>
          <w:rFonts w:hint="eastAsia" w:ascii="宋体" w:hAnsi="宋体" w:eastAsia="宋体" w:cs="宋体"/>
          <w:b/>
          <w:color w:val="auto"/>
          <w:sz w:val="28"/>
          <w:szCs w:val="22"/>
          <w:highlight w:val="none"/>
          <w:u w:val="single"/>
          <w:lang w:eastAsia="zh-CN"/>
        </w:rPr>
        <w:t>：</w:t>
      </w:r>
      <w:r>
        <w:rPr>
          <w:rFonts w:hint="eastAsia" w:ascii="宋体" w:hAnsi="宋体" w:cs="宋体"/>
          <w:b/>
          <w:color w:val="auto"/>
          <w:sz w:val="28"/>
          <w:szCs w:val="22"/>
          <w:highlight w:val="none"/>
          <w:u w:val="single"/>
          <w:lang w:eastAsia="zh-CN"/>
        </w:rPr>
        <w:t>PYCG260608076</w:t>
      </w:r>
      <w:r>
        <w:rPr>
          <w:rFonts w:hint="eastAsia" w:ascii="宋体" w:hAnsi="宋体" w:eastAsia="宋体" w:cs="宋体"/>
          <w:b/>
          <w:color w:val="auto"/>
          <w:sz w:val="28"/>
          <w:szCs w:val="22"/>
          <w:highlight w:val="none"/>
          <w:u w:val="single"/>
        </w:rPr>
        <w:t>）</w:t>
      </w:r>
      <w:r>
        <w:rPr>
          <w:rFonts w:hint="eastAsia" w:ascii="宋体" w:hAnsi="宋体" w:eastAsia="宋体" w:cs="宋体"/>
          <w:color w:val="auto"/>
          <w:sz w:val="28"/>
          <w:szCs w:val="22"/>
          <w:highlight w:val="none"/>
        </w:rPr>
        <w:t>的国企采购活动中所提交的《资格文件》所有内容真实、有效，不存在提供虚假材料的行为。如有违反，愿承担一切责任。</w:t>
      </w:r>
    </w:p>
    <w:p w14:paraId="16DD1836">
      <w:pPr>
        <w:wordWrap w:val="0"/>
        <w:spacing w:line="360" w:lineRule="auto"/>
        <w:ind w:firstLine="560" w:firstLineChars="200"/>
        <w:rPr>
          <w:rFonts w:hint="eastAsia" w:ascii="宋体" w:hAnsi="宋体" w:eastAsia="宋体" w:cs="宋体"/>
          <w:color w:val="auto"/>
          <w:sz w:val="28"/>
          <w:szCs w:val="22"/>
          <w:highlight w:val="none"/>
        </w:rPr>
      </w:pPr>
    </w:p>
    <w:p w14:paraId="197F9F72">
      <w:pPr>
        <w:wordWrap w:val="0"/>
        <w:spacing w:line="360" w:lineRule="auto"/>
        <w:ind w:firstLine="560" w:firstLineChars="200"/>
        <w:rPr>
          <w:rFonts w:hint="eastAsia" w:ascii="宋体" w:hAnsi="宋体" w:eastAsia="宋体" w:cs="宋体"/>
          <w:color w:val="auto"/>
          <w:sz w:val="22"/>
          <w:szCs w:val="22"/>
          <w:highlight w:val="none"/>
        </w:rPr>
      </w:pPr>
      <w:r>
        <w:rPr>
          <w:rFonts w:hint="eastAsia" w:ascii="宋体" w:hAnsi="宋体" w:eastAsia="宋体" w:cs="宋体"/>
          <w:color w:val="auto"/>
          <w:sz w:val="28"/>
          <w:szCs w:val="22"/>
          <w:highlight w:val="none"/>
        </w:rPr>
        <w:t>特此声明！</w:t>
      </w:r>
    </w:p>
    <w:p w14:paraId="275E0482">
      <w:pPr>
        <w:wordWrap w:val="0"/>
        <w:spacing w:line="360" w:lineRule="auto"/>
        <w:ind w:firstLine="420" w:firstLineChars="200"/>
        <w:rPr>
          <w:rFonts w:hint="eastAsia" w:ascii="宋体" w:hAnsi="宋体" w:eastAsia="宋体" w:cs="宋体"/>
          <w:color w:val="auto"/>
          <w:szCs w:val="22"/>
          <w:highlight w:val="none"/>
        </w:rPr>
      </w:pPr>
    </w:p>
    <w:p w14:paraId="3AC6522C">
      <w:pPr>
        <w:wordWrap w:val="0"/>
        <w:spacing w:line="360" w:lineRule="auto"/>
        <w:ind w:firstLine="420" w:firstLineChars="200"/>
        <w:rPr>
          <w:rFonts w:hint="eastAsia" w:ascii="宋体" w:hAnsi="宋体" w:eastAsia="宋体" w:cs="宋体"/>
          <w:color w:val="auto"/>
          <w:szCs w:val="22"/>
          <w:highlight w:val="none"/>
        </w:rPr>
      </w:pPr>
    </w:p>
    <w:p w14:paraId="3454B1D8">
      <w:pPr>
        <w:wordWrap w:val="0"/>
        <w:spacing w:line="360" w:lineRule="auto"/>
        <w:ind w:firstLine="420" w:firstLineChars="200"/>
        <w:rPr>
          <w:rFonts w:hint="eastAsia" w:ascii="宋体" w:hAnsi="宋体" w:eastAsia="宋体" w:cs="宋体"/>
          <w:color w:val="auto"/>
          <w:szCs w:val="22"/>
          <w:highlight w:val="none"/>
        </w:rPr>
      </w:pPr>
    </w:p>
    <w:p w14:paraId="33DA619E">
      <w:pPr>
        <w:wordWrap w:val="0"/>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供应商名称</w:t>
      </w:r>
      <w:r>
        <w:rPr>
          <w:rFonts w:hint="eastAsia" w:ascii="宋体" w:hAnsi="宋体" w:eastAsia="宋体" w:cs="宋体"/>
          <w:b/>
          <w:color w:val="auto"/>
          <w:sz w:val="28"/>
          <w:highlight w:val="none"/>
        </w:rPr>
        <w:t>（盖章）</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w w:val="90"/>
          <w:sz w:val="28"/>
          <w:szCs w:val="28"/>
          <w:highlight w:val="none"/>
        </w:rPr>
        <w:t>_________________________________________</w:t>
      </w:r>
    </w:p>
    <w:p w14:paraId="0625AB46">
      <w:pPr>
        <w:wordWrap w:val="0"/>
        <w:snapToGrid w:val="0"/>
        <w:spacing w:line="360"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法定代表人或授权代表</w:t>
      </w:r>
      <w:r>
        <w:rPr>
          <w:rFonts w:hint="eastAsia" w:ascii="宋体" w:hAnsi="宋体" w:eastAsia="宋体" w:cs="宋体"/>
          <w:b/>
          <w:color w:val="auto"/>
          <w:sz w:val="28"/>
          <w:highlight w:val="none"/>
        </w:rPr>
        <w:t>（签字或签章）</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w w:val="90"/>
          <w:sz w:val="28"/>
          <w:szCs w:val="28"/>
          <w:highlight w:val="none"/>
        </w:rPr>
        <w:t>__________________________</w:t>
      </w:r>
    </w:p>
    <w:p w14:paraId="290D51E3">
      <w:pPr>
        <w:wordWrap w:val="0"/>
        <w:spacing w:line="360" w:lineRule="auto"/>
        <w:rPr>
          <w:rFonts w:hint="eastAsia" w:ascii="宋体" w:hAnsi="宋体" w:eastAsia="宋体" w:cs="宋体"/>
          <w:b/>
          <w:color w:val="auto"/>
          <w:highlight w:val="none"/>
        </w:rPr>
      </w:pPr>
      <w:r>
        <w:rPr>
          <w:rFonts w:hint="eastAsia" w:ascii="宋体" w:hAnsi="宋体" w:eastAsia="宋体" w:cs="宋体"/>
          <w:color w:val="auto"/>
          <w:sz w:val="28"/>
          <w:szCs w:val="28"/>
          <w:highlight w:val="none"/>
        </w:rPr>
        <w:t>日期</w:t>
      </w:r>
      <w:r>
        <w:rPr>
          <w:rFonts w:hint="eastAsia" w:ascii="宋体" w:hAnsi="宋体" w:eastAsia="宋体" w:cs="宋体"/>
          <w:color w:val="auto"/>
          <w:sz w:val="28"/>
          <w:szCs w:val="28"/>
          <w:highlight w:val="none"/>
          <w:lang w:eastAsia="zh-CN"/>
        </w:rPr>
        <w:t>：</w:t>
      </w:r>
      <w:r>
        <w:rPr>
          <w:rFonts w:hint="eastAsia" w:ascii="宋体" w:hAnsi="宋体" w:eastAsia="宋体" w:cs="宋体"/>
          <w:color w:val="auto"/>
          <w:w w:val="90"/>
          <w:sz w:val="28"/>
          <w:szCs w:val="28"/>
          <w:highlight w:val="none"/>
        </w:rPr>
        <w:t>________年____月____日</w:t>
      </w:r>
    </w:p>
    <w:p w14:paraId="15051695">
      <w:pPr>
        <w:wordWrap w:val="0"/>
        <w:spacing w:line="360" w:lineRule="auto"/>
        <w:rPr>
          <w:rFonts w:hint="eastAsia" w:ascii="宋体" w:hAnsi="宋体" w:eastAsia="宋体" w:cs="宋体"/>
          <w:color w:val="auto"/>
          <w:highlight w:val="none"/>
        </w:rPr>
      </w:pPr>
    </w:p>
    <w:p w14:paraId="164C41F4">
      <w:pPr>
        <w:pStyle w:val="4"/>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1.3具有独立承担民事责任能力的证明材料</w:t>
      </w:r>
    </w:p>
    <w:p w14:paraId="05EB9D0B">
      <w:pPr>
        <w:wordWrap w:val="0"/>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企业法人营业执照</w:t>
      </w:r>
    </w:p>
    <w:tbl>
      <w:tblPr>
        <w:tblStyle w:val="28"/>
        <w:tblW w:w="0" w:type="auto"/>
        <w:tblInd w:w="0" w:type="dxa"/>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Layout w:type="fixed"/>
        <w:tblCellMar>
          <w:top w:w="0" w:type="dxa"/>
          <w:left w:w="108" w:type="dxa"/>
          <w:bottom w:w="0" w:type="dxa"/>
          <w:right w:w="108" w:type="dxa"/>
        </w:tblCellMar>
      </w:tblPr>
      <w:tblGrid>
        <w:gridCol w:w="9145"/>
      </w:tblGrid>
      <w:tr w14:paraId="5A72897E">
        <w:tblPrEx>
          <w:tblBorders>
            <w:top w:val="dotDash" w:color="BFBFBF" w:sz="4" w:space="0"/>
            <w:left w:val="dotDash" w:color="BFBFBF" w:sz="4" w:space="0"/>
            <w:bottom w:val="dotDash" w:color="BFBFBF" w:sz="4" w:space="0"/>
            <w:right w:val="dotDash" w:color="BFBFBF" w:sz="4" w:space="0"/>
            <w:insideH w:val="dotDash" w:color="BFBFBF" w:sz="4" w:space="0"/>
            <w:insideV w:val="dotDash" w:color="BFBFBF" w:sz="4" w:space="0"/>
          </w:tblBorders>
          <w:tblCellMar>
            <w:top w:w="0" w:type="dxa"/>
            <w:left w:w="108" w:type="dxa"/>
            <w:bottom w:w="0" w:type="dxa"/>
            <w:right w:w="108" w:type="dxa"/>
          </w:tblCellMar>
        </w:tblPrEx>
        <w:trPr>
          <w:trHeight w:val="10874" w:hRule="atLeast"/>
        </w:trPr>
        <w:tc>
          <w:tcPr>
            <w:tcW w:w="9145" w:type="dxa"/>
            <w:vAlign w:val="center"/>
          </w:tcPr>
          <w:p w14:paraId="7EE8328D">
            <w:pPr>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资格要求</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具有独立承担民事责任能力</w:t>
            </w:r>
          </w:p>
          <w:p w14:paraId="7E79B657">
            <w:pPr>
              <w:wordWrap w:val="0"/>
              <w:spacing w:line="360" w:lineRule="auto"/>
              <w:rPr>
                <w:rFonts w:hint="eastAsia" w:ascii="宋体" w:hAnsi="宋体" w:eastAsia="宋体" w:cs="宋体"/>
                <w:color w:val="auto"/>
                <w:highlight w:val="none"/>
              </w:rPr>
            </w:pPr>
          </w:p>
          <w:p w14:paraId="7BBFAD55">
            <w:pPr>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证明材料</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企业营业执照（提供复制件加盖供应商公章）或供应商为依法允许经营的事业单位的，应提交事业单位法人证书（提供复制件加盖供应商公章）</w:t>
            </w:r>
          </w:p>
          <w:p w14:paraId="5A350258">
            <w:pPr>
              <w:wordWrap w:val="0"/>
              <w:spacing w:line="360" w:lineRule="auto"/>
              <w:rPr>
                <w:rFonts w:hint="eastAsia" w:ascii="宋体" w:hAnsi="宋体" w:eastAsia="宋体" w:cs="宋体"/>
                <w:color w:val="auto"/>
                <w:highlight w:val="none"/>
              </w:rPr>
            </w:pPr>
          </w:p>
          <w:p w14:paraId="63FDD0FE">
            <w:pPr>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备注</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金融、保险、通讯等特定行业的全国性企业所设立的区域性分支机构，以及个体工商户、个人独资企业、合伙企业参加本项目投标的，除上述提供自身企业营业执照外，还须提供总公司（总机构）授权书或房产权证或其他有效财产证明材料（提供复制件加盖供应商公章）。</w:t>
            </w:r>
          </w:p>
          <w:p w14:paraId="7BE6BFF9">
            <w:pPr>
              <w:pStyle w:val="11"/>
              <w:wordWrap w:val="0"/>
              <w:spacing w:line="360" w:lineRule="auto"/>
              <w:rPr>
                <w:rFonts w:hint="eastAsia" w:ascii="宋体" w:hAnsi="宋体" w:eastAsia="宋体" w:cs="宋体"/>
                <w:color w:val="auto"/>
                <w:highlight w:val="none"/>
              </w:rPr>
            </w:pPr>
          </w:p>
        </w:tc>
      </w:tr>
    </w:tbl>
    <w:p w14:paraId="28BB3976">
      <w:pPr>
        <w:wordWrap w:val="0"/>
        <w:spacing w:line="360" w:lineRule="auto"/>
        <w:rPr>
          <w:rFonts w:hint="eastAsia" w:ascii="宋体" w:hAnsi="宋体" w:eastAsia="宋体" w:cs="宋体"/>
          <w:i/>
          <w:color w:val="auto"/>
          <w:sz w:val="22"/>
          <w:szCs w:val="22"/>
          <w:highlight w:val="none"/>
        </w:rPr>
      </w:pPr>
    </w:p>
    <w:p w14:paraId="67170014">
      <w:pPr>
        <w:pStyle w:val="4"/>
        <w:spacing w:before="0" w:after="0"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br w:type="page"/>
      </w:r>
      <w:r>
        <w:rPr>
          <w:rFonts w:hint="eastAsia" w:ascii="宋体" w:hAnsi="宋体" w:eastAsia="宋体" w:cs="宋体"/>
          <w:color w:val="auto"/>
          <w:highlight w:val="none"/>
        </w:rPr>
        <w:t>1.4供应商符合参与国企采购活动资格条件的声明函</w:t>
      </w:r>
      <w:r>
        <w:rPr>
          <w:rFonts w:hint="eastAsia" w:ascii="宋体" w:hAnsi="宋体" w:eastAsia="宋体" w:cs="宋体"/>
          <w:color w:val="auto"/>
          <w:highlight w:val="none"/>
          <w:lang w:eastAsia="zh-CN"/>
        </w:rPr>
        <w:t>：</w:t>
      </w:r>
    </w:p>
    <w:p w14:paraId="1C2A507E">
      <w:pPr>
        <w:spacing w:line="360" w:lineRule="auto"/>
        <w:jc w:val="center"/>
        <w:rPr>
          <w:rFonts w:hint="eastAsia" w:ascii="宋体" w:hAnsi="宋体" w:eastAsia="宋体" w:cs="宋体"/>
          <w:b/>
          <w:color w:val="auto"/>
          <w:sz w:val="44"/>
          <w:szCs w:val="44"/>
          <w:highlight w:val="none"/>
        </w:rPr>
      </w:pPr>
      <w:r>
        <w:rPr>
          <w:rFonts w:hint="eastAsia" w:ascii="宋体" w:hAnsi="宋体" w:eastAsia="宋体" w:cs="宋体"/>
          <w:b/>
          <w:color w:val="auto"/>
          <w:sz w:val="44"/>
          <w:szCs w:val="44"/>
          <w:highlight w:val="none"/>
        </w:rPr>
        <w:t>声明函</w:t>
      </w:r>
    </w:p>
    <w:p w14:paraId="310DEF75">
      <w:pPr>
        <w:spacing w:line="360" w:lineRule="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u w:val="single"/>
        </w:rPr>
        <w:t>（采购人）</w:t>
      </w:r>
      <w:r>
        <w:rPr>
          <w:rFonts w:hint="eastAsia" w:ascii="宋体" w:hAnsi="宋体" w:eastAsia="宋体" w:cs="宋体"/>
          <w:color w:val="auto"/>
          <w:sz w:val="24"/>
          <w:highlight w:val="none"/>
          <w:u w:val="single"/>
          <w:lang w:eastAsia="zh-CN"/>
        </w:rPr>
        <w:t>：</w:t>
      </w:r>
    </w:p>
    <w:p w14:paraId="48E84D81">
      <w:pPr>
        <w:pStyle w:val="9"/>
        <w:spacing w:line="360" w:lineRule="auto"/>
        <w:rPr>
          <w:rFonts w:hint="eastAsia" w:ascii="宋体" w:hAnsi="宋体" w:eastAsia="宋体" w:cs="宋体"/>
          <w:color w:val="auto"/>
          <w:highlight w:val="none"/>
        </w:rPr>
      </w:pPr>
    </w:p>
    <w:p w14:paraId="0D68763B">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（投标供应商全称）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u w:val="single"/>
        </w:rPr>
        <w:t xml:space="preserve">    </w:t>
      </w:r>
      <w:r>
        <w:rPr>
          <w:rFonts w:hint="eastAsia" w:ascii="宋体" w:hAnsi="宋体" w:eastAsia="宋体" w:cs="宋体"/>
          <w:i/>
          <w:iCs/>
          <w:color w:val="auto"/>
          <w:sz w:val="24"/>
          <w:szCs w:val="24"/>
          <w:highlight w:val="none"/>
          <w:u w:val="single"/>
        </w:rPr>
        <w:t xml:space="preserve">  （项目名称）   </w:t>
      </w:r>
      <w:r>
        <w:rPr>
          <w:rFonts w:hint="eastAsia" w:ascii="宋体" w:hAnsi="宋体" w:eastAsia="宋体" w:cs="宋体"/>
          <w:color w:val="auto"/>
          <w:sz w:val="24"/>
          <w:szCs w:val="24"/>
          <w:highlight w:val="none"/>
        </w:rPr>
        <w:t>国企采购活动，针对《平阳县县属国有企业采购管理办法（试行）》第十四条所述条件做如下承诺</w:t>
      </w:r>
      <w:r>
        <w:rPr>
          <w:rFonts w:hint="eastAsia" w:ascii="宋体" w:hAnsi="宋体" w:eastAsia="宋体" w:cs="宋体"/>
          <w:color w:val="auto"/>
          <w:sz w:val="24"/>
          <w:szCs w:val="24"/>
          <w:highlight w:val="none"/>
          <w:lang w:eastAsia="zh-CN"/>
        </w:rPr>
        <w:t>：</w:t>
      </w:r>
    </w:p>
    <w:p w14:paraId="77C9E931">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1.我方具有独立承担民事责任的能力；</w:t>
      </w:r>
    </w:p>
    <w:p w14:paraId="0ED5393F">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2.我方具有良好的商业信誉和健全的财务会计制度；</w:t>
      </w:r>
    </w:p>
    <w:p w14:paraId="6F17C4B7">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3.我方具有履行合同所必需的设备和专业技术、售后保障等能力；</w:t>
      </w:r>
    </w:p>
    <w:p w14:paraId="45EA9F85">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4.我方有依法缴纳税收和社会保障资金的良好记录；</w:t>
      </w:r>
    </w:p>
    <w:p w14:paraId="146E249D">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方在参加本次政府采购活动前三年内，在经营活动中没有重大违法记录（没有因违法经营受到刑事处罚，没有被责令停产停业、被吊销许可证或者执照、被处以较大数额罚款等行政处罚，没有因违法经营被禁止参加政府采购活动的期限未满情形）。</w:t>
      </w:r>
    </w:p>
    <w:p w14:paraId="468C8EA1">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6.我方与参加本次项目同一合同项下政府采购活动的其他供应商不存在单位负责人为同一人或者直接控股、管理关系。</w:t>
      </w:r>
    </w:p>
    <w:p w14:paraId="53CEDE47">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7.我方未被“信用中国”（www.creditchina.gov.cn）、中国政府采购网（www.ccgp.gov.cn）列入失信被执行人名单、重大税收违法案件当事人名单、政府采购严重违法失信行为记录名单</w:t>
      </w:r>
    </w:p>
    <w:p w14:paraId="15046269">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方对上述承诺内容的真实性负责。我公司郑重声明，我公司参加本次政府采购活动中所提交的《资格文件》所有内容真实、有效，不存在提供虚假材料的行为。如有违反，愿承担一切责任。如有虚假，将依法承担相应责任。</w:t>
      </w:r>
    </w:p>
    <w:p w14:paraId="787BBE7F">
      <w:pPr>
        <w:pStyle w:val="24"/>
        <w:spacing w:before="0" w:beforeAutospacing="0" w:after="0" w:afterAutospacing="0" w:line="360" w:lineRule="auto"/>
        <w:ind w:left="400" w:firstLine="480" w:firstLineChars="200"/>
        <w:rPr>
          <w:rFonts w:hint="eastAsia" w:ascii="宋体" w:hAnsi="宋体" w:eastAsia="宋体" w:cs="宋体"/>
          <w:bCs/>
          <w:color w:val="auto"/>
          <w:sz w:val="24"/>
          <w:szCs w:val="24"/>
          <w:highlight w:val="none"/>
        </w:rPr>
      </w:pPr>
    </w:p>
    <w:p w14:paraId="01D13D0B">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供应商名称（盖章）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p w14:paraId="761AC3B0">
      <w:pPr>
        <w:pStyle w:val="24"/>
        <w:spacing w:before="0" w:beforeAutospacing="0" w:after="0" w:afterAutospacing="0" w:line="360" w:lineRule="auto"/>
        <w:ind w:left="400"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法定代表人或授权代表（签字或盖章）</w:t>
      </w:r>
    </w:p>
    <w:p w14:paraId="3B6299BF">
      <w:pPr>
        <w:spacing w:line="360" w:lineRule="auto"/>
        <w:ind w:firstLine="960" w:firstLineChars="400"/>
        <w:rPr>
          <w:rFonts w:hint="eastAsia" w:ascii="宋体" w:hAnsi="宋体" w:eastAsia="宋体" w:cs="宋体"/>
          <w:color w:val="auto"/>
          <w:w w:val="90"/>
          <w:sz w:val="24"/>
          <w:highlight w:val="none"/>
        </w:rPr>
      </w:pPr>
      <w:r>
        <w:rPr>
          <w:rFonts w:hint="eastAsia" w:ascii="宋体" w:hAnsi="宋体" w:eastAsia="宋体" w:cs="宋体"/>
          <w:color w:val="auto"/>
          <w:sz w:val="24"/>
          <w:highlight w:val="none"/>
        </w:rPr>
        <w:t>日期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 xml:space="preserve">  年  月  日 </w:t>
      </w:r>
    </w:p>
    <w:p w14:paraId="44EA5645">
      <w:pPr>
        <w:pStyle w:val="4"/>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br w:type="page"/>
      </w:r>
      <w:r>
        <w:rPr>
          <w:rFonts w:hint="eastAsia" w:ascii="宋体" w:hAnsi="宋体" w:eastAsia="宋体" w:cs="宋体"/>
          <w:color w:val="auto"/>
          <w:highlight w:val="none"/>
        </w:rPr>
        <w:t xml:space="preserve">1.5-1法定代表人身份证明 </w:t>
      </w:r>
    </w:p>
    <w:p w14:paraId="6590BC48">
      <w:pPr>
        <w:spacing w:line="360" w:lineRule="auto"/>
        <w:jc w:val="center"/>
        <w:rPr>
          <w:rFonts w:hint="eastAsia" w:ascii="宋体" w:hAnsi="宋体" w:eastAsia="宋体" w:cs="宋体"/>
          <w:b/>
          <w:color w:val="auto"/>
          <w:sz w:val="28"/>
          <w:szCs w:val="28"/>
          <w:highlight w:val="none"/>
        </w:rPr>
      </w:pPr>
      <w:bookmarkStart w:id="63" w:name="_Toc434942927"/>
      <w:bookmarkStart w:id="64" w:name="_Toc152047263"/>
      <w:bookmarkStart w:id="65" w:name="_Toc144974467"/>
      <w:r>
        <w:rPr>
          <w:rFonts w:hint="eastAsia" w:ascii="宋体" w:hAnsi="宋体" w:eastAsia="宋体" w:cs="宋体"/>
          <w:b/>
          <w:color w:val="auto"/>
          <w:sz w:val="28"/>
          <w:szCs w:val="28"/>
          <w:highlight w:val="none"/>
        </w:rPr>
        <w:t>法定代表人身份证明</w:t>
      </w:r>
      <w:bookmarkEnd w:id="63"/>
      <w:bookmarkEnd w:id="64"/>
      <w:bookmarkEnd w:id="65"/>
    </w:p>
    <w:p w14:paraId="1E907FA1">
      <w:pPr>
        <w:spacing w:line="360" w:lineRule="auto"/>
        <w:rPr>
          <w:rFonts w:hint="eastAsia" w:ascii="宋体" w:hAnsi="宋体" w:eastAsia="宋体" w:cs="宋体"/>
          <w:color w:val="auto"/>
          <w:sz w:val="22"/>
          <w:szCs w:val="22"/>
          <w:highlight w:val="none"/>
        </w:rPr>
      </w:pPr>
    </w:p>
    <w:p w14:paraId="09254D14">
      <w:pPr>
        <w:topLinePunct/>
        <w:spacing w:line="360" w:lineRule="auto"/>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供应商名称</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p>
    <w:p w14:paraId="0935FB8A">
      <w:pPr>
        <w:topLinePunct/>
        <w:spacing w:line="360" w:lineRule="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单位性质</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p>
    <w:p w14:paraId="1DB9287F">
      <w:pPr>
        <w:topLinePunct/>
        <w:spacing w:line="360" w:lineRule="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成立时间</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年</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月</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日</w:t>
      </w:r>
    </w:p>
    <w:p w14:paraId="31C7B60E">
      <w:pPr>
        <w:topLinePunct/>
        <w:spacing w:line="360" w:lineRule="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经营期限</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p>
    <w:p w14:paraId="5D9A0ACD">
      <w:pPr>
        <w:topLinePunct/>
        <w:spacing w:line="360" w:lineRule="auto"/>
        <w:rPr>
          <w:rFonts w:hint="eastAsia" w:ascii="宋体" w:hAnsi="宋体" w:eastAsia="宋体" w:cs="宋体"/>
          <w:bCs/>
          <w:color w:val="auto"/>
          <w:sz w:val="22"/>
          <w:szCs w:val="22"/>
          <w:highlight w:val="none"/>
          <w:u w:val="single"/>
        </w:rPr>
      </w:pPr>
      <w:r>
        <w:rPr>
          <w:rFonts w:hint="eastAsia" w:ascii="宋体" w:hAnsi="宋体" w:eastAsia="宋体" w:cs="宋体"/>
          <w:bCs/>
          <w:color w:val="auto"/>
          <w:sz w:val="22"/>
          <w:szCs w:val="22"/>
          <w:highlight w:val="none"/>
        </w:rPr>
        <w:t>姓名</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性别</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年龄</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职务</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      </w:t>
      </w:r>
    </w:p>
    <w:p w14:paraId="5BD6528B">
      <w:pPr>
        <w:topLinePunct/>
        <w:spacing w:line="360" w:lineRule="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系</w:t>
      </w:r>
      <w:r>
        <w:rPr>
          <w:rFonts w:hint="eastAsia" w:ascii="宋体" w:hAnsi="宋体" w:eastAsia="宋体" w:cs="宋体"/>
          <w:bCs/>
          <w:color w:val="auto"/>
          <w:sz w:val="22"/>
          <w:szCs w:val="22"/>
          <w:highlight w:val="none"/>
          <w:u w:val="single"/>
        </w:rPr>
        <w:t xml:space="preserve">（投标供应商名称）          </w:t>
      </w:r>
      <w:r>
        <w:rPr>
          <w:rFonts w:hint="eastAsia" w:ascii="宋体" w:hAnsi="宋体" w:eastAsia="宋体" w:cs="宋体"/>
          <w:bCs/>
          <w:color w:val="auto"/>
          <w:sz w:val="22"/>
          <w:szCs w:val="22"/>
          <w:highlight w:val="none"/>
        </w:rPr>
        <w:t>的法定代表人。</w:t>
      </w:r>
    </w:p>
    <w:p w14:paraId="514243E8">
      <w:pPr>
        <w:topLinePunct/>
        <w:spacing w:line="360" w:lineRule="auto"/>
        <w:ind w:left="564" w:firstLine="420"/>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特此证明。</w:t>
      </w:r>
    </w:p>
    <w:p w14:paraId="27FD908D">
      <w:pPr>
        <w:topLinePunct/>
        <w:spacing w:line="360" w:lineRule="auto"/>
        <w:rPr>
          <w:rFonts w:hint="eastAsia" w:ascii="宋体" w:hAnsi="宋体" w:eastAsia="宋体" w:cs="宋体"/>
          <w:bCs/>
          <w:color w:val="auto"/>
          <w:sz w:val="22"/>
          <w:szCs w:val="22"/>
          <w:highlight w:val="none"/>
        </w:rPr>
      </w:pPr>
    </w:p>
    <w:p w14:paraId="62D08D75">
      <w:pPr>
        <w:topLinePunct/>
        <w:spacing w:line="360" w:lineRule="auto"/>
        <w:rPr>
          <w:rFonts w:hint="eastAsia" w:ascii="宋体" w:hAnsi="宋体" w:eastAsia="宋体" w:cs="宋体"/>
          <w:bCs/>
          <w:color w:val="auto"/>
          <w:sz w:val="22"/>
          <w:szCs w:val="22"/>
          <w:highlight w:val="none"/>
        </w:rPr>
      </w:pPr>
    </w:p>
    <w:p w14:paraId="71BA77E7">
      <w:pPr>
        <w:topLinePunct/>
        <w:spacing w:line="360" w:lineRule="auto"/>
        <w:jc w:val="righ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供应商名称</w:t>
      </w:r>
      <w:r>
        <w:rPr>
          <w:rFonts w:hint="eastAsia" w:ascii="宋体" w:hAnsi="宋体" w:eastAsia="宋体" w:cs="宋体"/>
          <w:bCs/>
          <w:color w:val="auto"/>
          <w:sz w:val="22"/>
          <w:szCs w:val="22"/>
          <w:highlight w:val="none"/>
          <w:lang w:eastAsia="zh-CN"/>
        </w:rPr>
        <w:t>：</w:t>
      </w:r>
      <w:r>
        <w:rPr>
          <w:rFonts w:hint="eastAsia" w:ascii="宋体" w:hAnsi="宋体" w:eastAsia="宋体" w:cs="宋体"/>
          <w:bCs/>
          <w:color w:val="auto"/>
          <w:sz w:val="22"/>
          <w:szCs w:val="22"/>
          <w:highlight w:val="none"/>
          <w:u w:val="single"/>
        </w:rPr>
        <w:t xml:space="preserve">（盖单位公章）              </w:t>
      </w:r>
    </w:p>
    <w:p w14:paraId="7B1BA165">
      <w:pPr>
        <w:topLinePunct/>
        <w:spacing w:line="360" w:lineRule="auto"/>
        <w:ind w:left="564" w:firstLine="3990"/>
        <w:jc w:val="right"/>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年</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月</w:t>
      </w:r>
      <w:r>
        <w:rPr>
          <w:rFonts w:hint="eastAsia" w:ascii="宋体" w:hAnsi="宋体" w:eastAsia="宋体" w:cs="宋体"/>
          <w:bCs/>
          <w:color w:val="auto"/>
          <w:sz w:val="22"/>
          <w:szCs w:val="22"/>
          <w:highlight w:val="none"/>
          <w:u w:val="single"/>
        </w:rPr>
        <w:t xml:space="preserve">   </w:t>
      </w:r>
      <w:r>
        <w:rPr>
          <w:rFonts w:hint="eastAsia" w:ascii="宋体" w:hAnsi="宋体" w:eastAsia="宋体" w:cs="宋体"/>
          <w:bCs/>
          <w:color w:val="auto"/>
          <w:sz w:val="22"/>
          <w:szCs w:val="22"/>
          <w:highlight w:val="none"/>
        </w:rPr>
        <w:t>日</w:t>
      </w:r>
    </w:p>
    <w:p w14:paraId="42935FD2">
      <w:pPr>
        <w:pStyle w:val="14"/>
        <w:adjustRightInd w:val="0"/>
        <w:snapToGrid w:val="0"/>
        <w:spacing w:line="360" w:lineRule="auto"/>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w:t>
      </w:r>
      <w:r>
        <w:rPr>
          <w:rFonts w:hint="eastAsia" w:ascii="宋体" w:hAnsi="宋体" w:eastAsia="宋体" w:cs="宋体"/>
          <w:color w:val="auto"/>
          <w:sz w:val="22"/>
          <w:szCs w:val="22"/>
          <w:highlight w:val="none"/>
        </w:rPr>
        <w:t>注</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非法定代表人参加开标，无须提供。</w:t>
      </w:r>
      <w:r>
        <w:rPr>
          <w:rFonts w:hint="eastAsia" w:ascii="宋体" w:hAnsi="宋体" w:eastAsia="宋体" w:cs="宋体"/>
          <w:bCs/>
          <w:color w:val="auto"/>
          <w:sz w:val="22"/>
          <w:szCs w:val="22"/>
          <w:highlight w:val="none"/>
        </w:rPr>
        <w:t>）</w:t>
      </w:r>
    </w:p>
    <w:p w14:paraId="57F68C98">
      <w:pPr>
        <w:pStyle w:val="4"/>
        <w:spacing w:before="0" w:after="0" w:line="360" w:lineRule="auto"/>
        <w:rPr>
          <w:rFonts w:hint="eastAsia" w:ascii="宋体" w:hAnsi="宋体" w:eastAsia="宋体" w:cs="宋体"/>
          <w:color w:val="auto"/>
          <w:highlight w:val="none"/>
        </w:rPr>
        <w:sectPr>
          <w:type w:val="continuous"/>
          <w:pgSz w:w="11907" w:h="16840"/>
          <w:pgMar w:top="1440" w:right="1117" w:bottom="1440" w:left="1440" w:header="720" w:footer="720" w:gutter="0"/>
          <w:cols w:space="720" w:num="1"/>
          <w:titlePg/>
          <w:docGrid w:linePitch="286" w:charSpace="0"/>
        </w:sectPr>
      </w:pPr>
    </w:p>
    <w:p w14:paraId="01A230B8">
      <w:pPr>
        <w:pStyle w:val="4"/>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1.5-2 法定代表人授权书</w:t>
      </w:r>
    </w:p>
    <w:p w14:paraId="6B28EE70">
      <w:pPr>
        <w:widowControl/>
        <w:autoSpaceDE w:val="0"/>
        <w:autoSpaceDN w:val="0"/>
        <w:snapToGrid w:val="0"/>
        <w:spacing w:line="360" w:lineRule="auto"/>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法定代表人授权书</w:t>
      </w:r>
    </w:p>
    <w:p w14:paraId="1BE005DA">
      <w:pPr>
        <w:widowControl/>
        <w:autoSpaceDE w:val="0"/>
        <w:autoSpaceDN w:val="0"/>
        <w:snapToGrid w:val="0"/>
        <w:spacing w:line="360" w:lineRule="auto"/>
        <w:jc w:val="left"/>
        <w:rPr>
          <w:rFonts w:hint="eastAsia" w:ascii="宋体" w:hAnsi="宋体" w:eastAsia="宋体" w:cs="宋体"/>
          <w:color w:val="auto"/>
          <w:sz w:val="24"/>
          <w:highlight w:val="none"/>
        </w:rPr>
      </w:pPr>
    </w:p>
    <w:p w14:paraId="4CE6E3F2">
      <w:pPr>
        <w:widowControl/>
        <w:snapToGrid w:val="0"/>
        <w:spacing w:line="360" w:lineRule="auto"/>
        <w:jc w:val="left"/>
        <w:rPr>
          <w:rFonts w:hint="eastAsia" w:ascii="宋体" w:hAnsi="宋体" w:eastAsia="宋体" w:cs="宋体"/>
          <w:color w:val="auto"/>
          <w:highlight w:val="none"/>
          <w:u w:val="single"/>
        </w:rPr>
      </w:pPr>
    </w:p>
    <w:p w14:paraId="67B3613A">
      <w:pPr>
        <w:widowControl/>
        <w:snapToGrid w:val="0"/>
        <w:spacing w:line="360" w:lineRule="auto"/>
        <w:jc w:val="left"/>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u w:val="single"/>
          <w:lang w:eastAsia="zh-CN"/>
        </w:rPr>
        <w:t>平阳县青澜酒店管理有限公司</w:t>
      </w:r>
      <w:r>
        <w:rPr>
          <w:rFonts w:hint="eastAsia" w:ascii="宋体" w:hAnsi="宋体" w:eastAsia="宋体" w:cs="宋体"/>
          <w:color w:val="auto"/>
          <w:sz w:val="22"/>
          <w:highlight w:val="none"/>
          <w:lang w:eastAsia="zh-CN"/>
        </w:rPr>
        <w:t>：</w:t>
      </w:r>
    </w:p>
    <w:p w14:paraId="51DBCC72">
      <w:pPr>
        <w:widowControl/>
        <w:snapToGrid w:val="0"/>
        <w:spacing w:line="360" w:lineRule="auto"/>
        <w:ind w:firstLine="440"/>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本授权委托书声明</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我</w:t>
      </w:r>
      <w:r>
        <w:rPr>
          <w:rFonts w:hint="eastAsia" w:ascii="宋体" w:hAnsi="宋体" w:eastAsia="宋体" w:cs="宋体"/>
          <w:color w:val="auto"/>
          <w:sz w:val="22"/>
          <w:highlight w:val="none"/>
          <w:u w:val="single"/>
        </w:rPr>
        <w:t xml:space="preserve">   （法定代表人姓名）   </w:t>
      </w:r>
      <w:r>
        <w:rPr>
          <w:rFonts w:hint="eastAsia" w:ascii="宋体" w:hAnsi="宋体" w:eastAsia="宋体" w:cs="宋体"/>
          <w:color w:val="auto"/>
          <w:sz w:val="22"/>
          <w:highlight w:val="none"/>
        </w:rPr>
        <w:t>系</w:t>
      </w:r>
      <w:r>
        <w:rPr>
          <w:rFonts w:hint="eastAsia" w:ascii="宋体" w:hAnsi="宋体" w:eastAsia="宋体" w:cs="宋体"/>
          <w:color w:val="auto"/>
          <w:sz w:val="22"/>
          <w:highlight w:val="none"/>
          <w:u w:val="single"/>
        </w:rPr>
        <w:t xml:space="preserve">   （供应商名称）  </w:t>
      </w:r>
      <w:r>
        <w:rPr>
          <w:rFonts w:hint="eastAsia" w:ascii="宋体" w:hAnsi="宋体" w:eastAsia="宋体" w:cs="宋体"/>
          <w:color w:val="auto"/>
          <w:sz w:val="22"/>
          <w:highlight w:val="none"/>
        </w:rPr>
        <w:t>的法定代表人，现授权委托</w:t>
      </w:r>
      <w:r>
        <w:rPr>
          <w:rFonts w:hint="eastAsia" w:ascii="宋体" w:hAnsi="宋体" w:eastAsia="宋体" w:cs="宋体"/>
          <w:color w:val="auto"/>
          <w:sz w:val="22"/>
          <w:highlight w:val="none"/>
          <w:u w:val="single"/>
        </w:rPr>
        <w:t xml:space="preserve">  （单 位 名 称）   </w:t>
      </w:r>
      <w:r>
        <w:rPr>
          <w:rFonts w:hint="eastAsia" w:ascii="宋体" w:hAnsi="宋体" w:eastAsia="宋体" w:cs="宋体"/>
          <w:color w:val="auto"/>
          <w:sz w:val="22"/>
          <w:highlight w:val="none"/>
        </w:rPr>
        <w:t>的</w:t>
      </w:r>
      <w:r>
        <w:rPr>
          <w:rFonts w:hint="eastAsia" w:ascii="宋体" w:hAnsi="宋体" w:eastAsia="宋体" w:cs="宋体"/>
          <w:color w:val="auto"/>
          <w:sz w:val="22"/>
          <w:highlight w:val="none"/>
          <w:u w:val="single"/>
        </w:rPr>
        <w:t xml:space="preserve">  （授权代表姓名）  </w:t>
      </w:r>
      <w:r>
        <w:rPr>
          <w:rFonts w:hint="eastAsia" w:ascii="宋体" w:hAnsi="宋体" w:eastAsia="宋体" w:cs="宋体"/>
          <w:color w:val="auto"/>
          <w:sz w:val="22"/>
          <w:highlight w:val="none"/>
        </w:rPr>
        <w:t>为我公司法定代表人授权代表，参加贵处组织的</w:t>
      </w:r>
      <w:r>
        <w:rPr>
          <w:rFonts w:hint="eastAsia" w:ascii="宋体" w:hAnsi="宋体" w:eastAsia="宋体" w:cs="宋体"/>
          <w:color w:val="auto"/>
          <w:sz w:val="22"/>
          <w:highlight w:val="none"/>
          <w:u w:val="single"/>
        </w:rPr>
        <w:t xml:space="preserve"> 项目名称（括号中填写项目编号）   </w:t>
      </w:r>
      <w:r>
        <w:rPr>
          <w:rFonts w:hint="eastAsia" w:ascii="宋体" w:hAnsi="宋体" w:eastAsia="宋体" w:cs="宋体"/>
          <w:color w:val="auto"/>
          <w:sz w:val="22"/>
          <w:highlight w:val="none"/>
        </w:rPr>
        <w:t>项目投标，全权处理本次招投标活动中的一切事宜，我承认授权代表全权代表我所签署的本项目的投标文件的内容。</w:t>
      </w:r>
    </w:p>
    <w:p w14:paraId="714E4D69">
      <w:pPr>
        <w:widowControl/>
        <w:snapToGrid w:val="0"/>
        <w:spacing w:line="360" w:lineRule="auto"/>
        <w:ind w:firstLine="440"/>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授权代表无转授权，特此授权</w:t>
      </w:r>
    </w:p>
    <w:p w14:paraId="42AFE3B1">
      <w:pPr>
        <w:widowControl/>
        <w:snapToGrid w:val="0"/>
        <w:spacing w:line="360" w:lineRule="auto"/>
        <w:ind w:left="1260"/>
        <w:jc w:val="left"/>
        <w:rPr>
          <w:rFonts w:hint="eastAsia" w:ascii="宋体" w:hAnsi="宋体" w:eastAsia="宋体" w:cs="宋体"/>
          <w:color w:val="auto"/>
          <w:sz w:val="22"/>
          <w:highlight w:val="none"/>
        </w:rPr>
      </w:pPr>
    </w:p>
    <w:p w14:paraId="5F064D5F">
      <w:pPr>
        <w:widowControl/>
        <w:snapToGrid w:val="0"/>
        <w:spacing w:line="360" w:lineRule="auto"/>
        <w:ind w:left="2098" w:firstLine="959"/>
        <w:jc w:val="left"/>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授权代表</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 性别 </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 年龄</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3F049746">
      <w:pPr>
        <w:widowControl/>
        <w:snapToGrid w:val="0"/>
        <w:spacing w:line="360" w:lineRule="auto"/>
        <w:ind w:left="2098" w:firstLine="959"/>
        <w:jc w:val="left"/>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身份证号码</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 职务</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0BC2E36F">
      <w:pPr>
        <w:widowControl/>
        <w:snapToGrid w:val="0"/>
        <w:spacing w:line="360" w:lineRule="auto"/>
        <w:ind w:left="2098" w:firstLine="959"/>
        <w:jc w:val="left"/>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详细通讯地址</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 邮政编码</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359312A5">
      <w:pPr>
        <w:widowControl/>
        <w:snapToGrid w:val="0"/>
        <w:spacing w:line="360" w:lineRule="auto"/>
        <w:ind w:left="2098" w:firstLine="959"/>
        <w:jc w:val="left"/>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电话</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 传真</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1892FC36">
      <w:pPr>
        <w:widowControl/>
        <w:snapToGrid w:val="0"/>
        <w:spacing w:line="360" w:lineRule="auto"/>
        <w:ind w:left="2098" w:firstLine="959"/>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w:t>
      </w:r>
    </w:p>
    <w:p w14:paraId="70E52B03">
      <w:pPr>
        <w:widowControl/>
        <w:snapToGrid w:val="0"/>
        <w:spacing w:line="360" w:lineRule="auto"/>
        <w:ind w:left="2098" w:right="440" w:firstLine="959"/>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供应商</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（盖章）</w:t>
      </w:r>
    </w:p>
    <w:p w14:paraId="27857D4D">
      <w:pPr>
        <w:widowControl/>
        <w:snapToGrid w:val="0"/>
        <w:spacing w:line="360" w:lineRule="auto"/>
        <w:ind w:left="2098" w:right="440" w:firstLine="959"/>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法定代表人</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（签字或盖章）</w:t>
      </w:r>
    </w:p>
    <w:p w14:paraId="2802DA8F">
      <w:pPr>
        <w:widowControl/>
        <w:snapToGrid w:val="0"/>
        <w:spacing w:line="360" w:lineRule="auto"/>
        <w:jc w:val="left"/>
        <w:rPr>
          <w:rFonts w:hint="eastAsia" w:ascii="宋体" w:hAnsi="宋体" w:eastAsia="宋体" w:cs="宋体"/>
          <w:color w:val="auto"/>
          <w:sz w:val="22"/>
          <w:highlight w:val="none"/>
        </w:rPr>
      </w:pPr>
    </w:p>
    <w:p w14:paraId="2419255F">
      <w:pPr>
        <w:widowControl/>
        <w:snapToGrid w:val="0"/>
        <w:spacing w:line="360" w:lineRule="auto"/>
        <w:ind w:left="2098" w:right="440" w:firstLine="959"/>
        <w:jc w:val="left"/>
        <w:rPr>
          <w:rFonts w:hint="eastAsia" w:ascii="宋体" w:hAnsi="宋体" w:eastAsia="宋体" w:cs="宋体"/>
          <w:color w:val="auto"/>
          <w:sz w:val="24"/>
          <w:highlight w:val="none"/>
        </w:rPr>
      </w:pPr>
      <w:r>
        <w:rPr>
          <w:rFonts w:hint="eastAsia" w:ascii="宋体" w:hAnsi="宋体" w:eastAsia="宋体" w:cs="宋体"/>
          <w:color w:val="auto"/>
          <w:sz w:val="22"/>
          <w:highlight w:val="none"/>
        </w:rPr>
        <w:t>授权委托日期</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 xml:space="preserve">年 </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日</w:t>
      </w:r>
    </w:p>
    <w:tbl>
      <w:tblPr>
        <w:tblStyle w:val="28"/>
        <w:tblW w:w="0" w:type="auto"/>
        <w:tblInd w:w="108" w:type="dxa"/>
        <w:tblLayout w:type="fixed"/>
        <w:tblCellMar>
          <w:top w:w="0" w:type="dxa"/>
          <w:left w:w="0" w:type="dxa"/>
          <w:bottom w:w="0" w:type="dxa"/>
          <w:right w:w="0" w:type="dxa"/>
        </w:tblCellMar>
      </w:tblPr>
      <w:tblGrid>
        <w:gridCol w:w="8657"/>
      </w:tblGrid>
      <w:tr w14:paraId="32906CDD">
        <w:tblPrEx>
          <w:tblCellMar>
            <w:top w:w="0" w:type="dxa"/>
            <w:left w:w="0" w:type="dxa"/>
            <w:bottom w:w="0" w:type="dxa"/>
            <w:right w:w="0" w:type="dxa"/>
          </w:tblCellMar>
        </w:tblPrEx>
        <w:trPr>
          <w:trHeight w:val="2891" w:hRule="atLeast"/>
        </w:trPr>
        <w:tc>
          <w:tcPr>
            <w:tcW w:w="865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F29D0F1">
            <w:pPr>
              <w:widowControl/>
              <w:snapToGrid w:val="0"/>
              <w:spacing w:line="360" w:lineRule="auto"/>
              <w:jc w:val="center"/>
              <w:rPr>
                <w:rFonts w:hint="eastAsia" w:ascii="宋体" w:hAnsi="宋体" w:eastAsia="宋体" w:cs="宋体"/>
                <w:color w:val="auto"/>
                <w:sz w:val="24"/>
                <w:highlight w:val="none"/>
              </w:rPr>
            </w:pPr>
          </w:p>
          <w:p w14:paraId="3E201E58">
            <w:pPr>
              <w:widowControl/>
              <w:snapToGrid w:val="0"/>
              <w:spacing w:line="360" w:lineRule="auto"/>
              <w:jc w:val="center"/>
              <w:rPr>
                <w:rFonts w:hint="eastAsia" w:ascii="宋体" w:hAnsi="宋体" w:eastAsia="宋体" w:cs="宋体"/>
                <w:color w:val="auto"/>
                <w:sz w:val="24"/>
                <w:highlight w:val="none"/>
              </w:rPr>
            </w:pPr>
          </w:p>
          <w:p w14:paraId="32A3C667">
            <w:pPr>
              <w:widowControl/>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授权代表身份证复印件与影印件粘贴处</w:t>
            </w:r>
          </w:p>
          <w:p w14:paraId="40A2F22B">
            <w:pPr>
              <w:widowControl/>
              <w:snapToGrid w:val="0"/>
              <w:spacing w:line="360" w:lineRule="auto"/>
              <w:jc w:val="center"/>
              <w:rPr>
                <w:rFonts w:hint="eastAsia" w:ascii="宋体" w:hAnsi="宋体" w:eastAsia="宋体" w:cs="宋体"/>
                <w:color w:val="auto"/>
                <w:sz w:val="24"/>
                <w:highlight w:val="none"/>
              </w:rPr>
            </w:pPr>
          </w:p>
          <w:p w14:paraId="29786B31">
            <w:pPr>
              <w:widowControl/>
              <w:snapToGrid w:val="0"/>
              <w:spacing w:line="360" w:lineRule="auto"/>
              <w:jc w:val="center"/>
              <w:rPr>
                <w:rFonts w:hint="eastAsia" w:ascii="宋体" w:hAnsi="宋体" w:eastAsia="宋体" w:cs="宋体"/>
                <w:color w:val="auto"/>
                <w:sz w:val="24"/>
                <w:highlight w:val="none"/>
              </w:rPr>
            </w:pPr>
          </w:p>
          <w:p w14:paraId="3673AB08">
            <w:pPr>
              <w:widowControl/>
              <w:snapToGrid w:val="0"/>
              <w:spacing w:line="360" w:lineRule="auto"/>
              <w:jc w:val="center"/>
              <w:rPr>
                <w:rFonts w:hint="eastAsia" w:ascii="宋体" w:hAnsi="宋体" w:eastAsia="宋体" w:cs="宋体"/>
                <w:color w:val="auto"/>
                <w:sz w:val="24"/>
                <w:highlight w:val="none"/>
              </w:rPr>
            </w:pPr>
          </w:p>
          <w:p w14:paraId="0AFAAF7C">
            <w:pPr>
              <w:widowControl/>
              <w:snapToGrid w:val="0"/>
              <w:spacing w:line="360" w:lineRule="auto"/>
              <w:jc w:val="center"/>
              <w:rPr>
                <w:rFonts w:hint="eastAsia" w:ascii="宋体" w:hAnsi="宋体" w:eastAsia="宋体" w:cs="宋体"/>
                <w:color w:val="auto"/>
                <w:sz w:val="24"/>
                <w:highlight w:val="none"/>
              </w:rPr>
            </w:pPr>
          </w:p>
          <w:p w14:paraId="1F31FAC0">
            <w:pPr>
              <w:widowControl/>
              <w:snapToGrid w:val="0"/>
              <w:spacing w:line="360" w:lineRule="auto"/>
              <w:jc w:val="center"/>
              <w:rPr>
                <w:rFonts w:hint="eastAsia" w:ascii="宋体" w:hAnsi="宋体" w:eastAsia="宋体" w:cs="宋体"/>
                <w:color w:val="auto"/>
                <w:sz w:val="36"/>
                <w:highlight w:val="none"/>
              </w:rPr>
            </w:pPr>
          </w:p>
        </w:tc>
      </w:tr>
    </w:tbl>
    <w:p w14:paraId="018015E1">
      <w:pPr>
        <w:widowControl/>
        <w:tabs>
          <w:tab w:val="left" w:pos="360"/>
        </w:tabs>
        <w:snapToGrid w:val="0"/>
        <w:spacing w:line="360" w:lineRule="auto"/>
        <w:ind w:left="360"/>
        <w:jc w:val="left"/>
        <w:rPr>
          <w:rFonts w:hint="eastAsia" w:ascii="宋体" w:hAnsi="宋体" w:eastAsia="宋体" w:cs="宋体"/>
          <w:b/>
          <w:color w:val="auto"/>
          <w:sz w:val="22"/>
          <w:highlight w:val="none"/>
        </w:rPr>
      </w:pPr>
      <w:r>
        <w:rPr>
          <w:rFonts w:hint="eastAsia" w:ascii="宋体" w:hAnsi="宋体" w:eastAsia="宋体" w:cs="宋体"/>
          <w:b/>
          <w:color w:val="auto"/>
          <w:sz w:val="22"/>
          <w:highlight w:val="none"/>
        </w:rPr>
        <w:t>注</w:t>
      </w:r>
      <w:r>
        <w:rPr>
          <w:rFonts w:hint="eastAsia" w:ascii="宋体" w:hAnsi="宋体" w:eastAsia="宋体" w:cs="宋体"/>
          <w:b/>
          <w:color w:val="auto"/>
          <w:sz w:val="22"/>
          <w:highlight w:val="none"/>
          <w:lang w:eastAsia="zh-CN"/>
        </w:rPr>
        <w:t>：</w:t>
      </w:r>
      <w:r>
        <w:rPr>
          <w:rFonts w:hint="eastAsia" w:ascii="宋体" w:hAnsi="宋体" w:eastAsia="宋体" w:cs="宋体"/>
          <w:b/>
          <w:color w:val="auto"/>
          <w:sz w:val="22"/>
          <w:highlight w:val="none"/>
        </w:rPr>
        <w:t>法定代表人必须签字或盖章，否则做无效标处理。如为法定代表人投标，则无需提供。</w:t>
      </w:r>
    </w:p>
    <w:p w14:paraId="2ADC31A4">
      <w:pPr>
        <w:widowControl/>
        <w:snapToGrid w:val="0"/>
        <w:spacing w:line="360" w:lineRule="auto"/>
        <w:jc w:val="left"/>
        <w:rPr>
          <w:rFonts w:hint="eastAsia" w:ascii="宋体" w:hAnsi="宋体" w:eastAsia="宋体" w:cs="宋体"/>
          <w:color w:val="auto"/>
          <w:sz w:val="30"/>
          <w:highlight w:val="none"/>
        </w:rPr>
      </w:pPr>
    </w:p>
    <w:p w14:paraId="39C75E07">
      <w:pPr>
        <w:pStyle w:val="3"/>
        <w:wordWrap w:val="0"/>
        <w:spacing w:before="0" w:after="0" w:line="360" w:lineRule="auto"/>
        <w:rPr>
          <w:rFonts w:hint="default" w:ascii="宋体" w:hAnsi="宋体" w:eastAsia="宋体" w:cs="宋体"/>
          <w:color w:val="auto"/>
          <w:highlight w:val="none"/>
          <w:lang w:val="en-US" w:eastAsia="zh-CN"/>
        </w:rPr>
      </w:pPr>
      <w:bookmarkStart w:id="66" w:name="_Toc28966"/>
      <w:bookmarkStart w:id="67" w:name="_Toc13445"/>
      <w:bookmarkStart w:id="68" w:name="_Toc817"/>
      <w:r>
        <w:rPr>
          <w:rFonts w:hint="eastAsia" w:ascii="宋体" w:hAnsi="宋体" w:eastAsia="宋体" w:cs="宋体"/>
          <w:color w:val="auto"/>
          <w:highlight w:val="none"/>
        </w:rPr>
        <w:br w:type="page"/>
      </w:r>
      <w:bookmarkEnd w:id="66"/>
      <w:bookmarkEnd w:id="67"/>
      <w:bookmarkEnd w:id="68"/>
      <w:bookmarkStart w:id="69" w:name="_Toc28157"/>
      <w:bookmarkStart w:id="70" w:name="_Toc25195"/>
      <w:bookmarkStart w:id="71" w:name="_Toc28635"/>
      <w:bookmarkStart w:id="72" w:name="_Toc13938"/>
      <w:bookmarkStart w:id="73" w:name="_Toc6047"/>
      <w:r>
        <w:rPr>
          <w:rFonts w:hint="eastAsia" w:ascii="宋体" w:hAnsi="宋体" w:eastAsia="宋体" w:cs="宋体"/>
          <w:color w:val="auto"/>
          <w:highlight w:val="none"/>
          <w:lang w:val="en-US" w:eastAsia="zh-CN"/>
        </w:rPr>
        <w:t>1.6特定资格条件</w:t>
      </w:r>
    </w:p>
    <w:p w14:paraId="37A24E37">
      <w:pPr>
        <w:pStyle w:val="3"/>
        <w:wordWrap w:val="0"/>
        <w:spacing w:before="0" w:after="0" w:line="360" w:lineRule="auto"/>
        <w:rPr>
          <w:rFonts w:hint="eastAsia" w:ascii="宋体" w:hAnsi="宋体" w:eastAsia="宋体" w:cs="宋体"/>
          <w:color w:val="auto"/>
          <w:highlight w:val="none"/>
          <w:lang w:eastAsia="zh-CN"/>
        </w:rPr>
      </w:pPr>
    </w:p>
    <w:p w14:paraId="191B26D2">
      <w:pPr>
        <w:pStyle w:val="3"/>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1）</w:t>
      </w:r>
      <w:r>
        <w:rPr>
          <w:rFonts w:hint="eastAsia" w:ascii="宋体" w:hAnsi="宋体" w:eastAsia="宋体" w:cs="宋体"/>
          <w:color w:val="auto"/>
          <w:highlight w:val="none"/>
        </w:rPr>
        <w:t>具有应急管理局颁发的《危险化学品经营许可证》（许可范围：天然气）；</w:t>
      </w:r>
    </w:p>
    <w:p w14:paraId="6F1A8178">
      <w:pPr>
        <w:pStyle w:val="3"/>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2）</w:t>
      </w:r>
      <w:r>
        <w:rPr>
          <w:rFonts w:hint="eastAsia" w:ascii="宋体" w:hAnsi="宋体" w:eastAsia="宋体" w:cs="宋体"/>
          <w:color w:val="auto"/>
          <w:highlight w:val="none"/>
        </w:rPr>
        <w:t>自行运输或委托第三方运输，须具备由道路运输管理部门颁发的《道路运输经营许可证》（经营范围：危险货物运输[2类1项]或[2.1项]）(如委托第三方运输，需提供第三方运输单位的《营业执照》和《道路运输经营许可证》外，同时还须提供与第三方运输单位的运输合同</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格式自拟</w:t>
      </w:r>
      <w:r>
        <w:rPr>
          <w:rFonts w:hint="eastAsia" w:ascii="宋体" w:hAnsi="宋体" w:eastAsia="宋体" w:cs="宋体"/>
          <w:color w:val="auto"/>
          <w:highlight w:val="none"/>
          <w:lang w:eastAsia="zh-CN"/>
        </w:rPr>
        <w:t>）</w:t>
      </w:r>
    </w:p>
    <w:p w14:paraId="052ACA53">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65B74707">
      <w:pPr>
        <w:pStyle w:val="3"/>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二、“报价文件”格式</w:t>
      </w:r>
      <w:bookmarkEnd w:id="69"/>
      <w:bookmarkEnd w:id="70"/>
      <w:bookmarkEnd w:id="71"/>
      <w:bookmarkEnd w:id="72"/>
      <w:bookmarkEnd w:id="73"/>
    </w:p>
    <w:p w14:paraId="591D8717">
      <w:pPr>
        <w:pStyle w:val="5"/>
        <w:wordWrap w:val="0"/>
        <w:spacing w:before="0" w:after="0" w:line="360" w:lineRule="auto"/>
        <w:rPr>
          <w:rFonts w:hint="eastAsia" w:ascii="宋体" w:hAnsi="宋体" w:eastAsia="宋体" w:cs="宋体"/>
          <w:color w:val="auto"/>
          <w:sz w:val="32"/>
          <w:szCs w:val="22"/>
          <w:highlight w:val="none"/>
        </w:rPr>
      </w:pPr>
      <w:r>
        <w:rPr>
          <w:rFonts w:hint="eastAsia" w:ascii="宋体" w:hAnsi="宋体" w:eastAsia="宋体" w:cs="宋体"/>
          <w:color w:val="auto"/>
          <w:highlight w:val="none"/>
        </w:rPr>
        <w:t>2.1 “报价文件”封面</w:t>
      </w:r>
    </w:p>
    <w:p w14:paraId="1E8F8886">
      <w:pPr>
        <w:wordWrap w:val="0"/>
        <w:spacing w:line="360" w:lineRule="auto"/>
        <w:jc w:val="center"/>
        <w:rPr>
          <w:rFonts w:hint="eastAsia" w:ascii="宋体" w:hAnsi="宋体" w:eastAsia="宋体" w:cs="宋体"/>
          <w:color w:val="auto"/>
          <w:sz w:val="52"/>
          <w:szCs w:val="18"/>
          <w:highlight w:val="none"/>
          <w:lang w:eastAsia="zh-CN"/>
        </w:rPr>
      </w:pPr>
      <w:r>
        <w:rPr>
          <w:rFonts w:hint="eastAsia" w:ascii="宋体" w:hAnsi="宋体" w:cs="宋体"/>
          <w:color w:val="auto"/>
          <w:sz w:val="52"/>
          <w:szCs w:val="18"/>
          <w:highlight w:val="none"/>
          <w:lang w:eastAsia="zh-CN"/>
        </w:rPr>
        <w:t>2026年度采购雁荡山君澜度假酒店液化天然气（LNG）、运输及天然气站维护服务采购</w:t>
      </w:r>
    </w:p>
    <w:p w14:paraId="52E9C24A">
      <w:pPr>
        <w:pStyle w:val="60"/>
        <w:wordWrap w:val="0"/>
        <w:spacing w:after="0" w:line="360" w:lineRule="auto"/>
        <w:rPr>
          <w:rFonts w:hint="eastAsia" w:ascii="宋体" w:hAnsi="宋体" w:eastAsia="宋体" w:cs="宋体"/>
          <w:color w:val="auto"/>
          <w:highlight w:val="none"/>
        </w:rPr>
      </w:pPr>
    </w:p>
    <w:p w14:paraId="2EC8335C">
      <w:pPr>
        <w:wordWrap w:val="0"/>
        <w:spacing w:line="360" w:lineRule="auto"/>
        <w:jc w:val="center"/>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633363B5">
      <w:pPr>
        <w:wordWrap w:val="0"/>
        <w:spacing w:line="360" w:lineRule="auto"/>
        <w:jc w:val="center"/>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（报价文件）</w:t>
      </w:r>
    </w:p>
    <w:p w14:paraId="75F3D59C">
      <w:pPr>
        <w:wordWrap w:val="0"/>
        <w:spacing w:line="360" w:lineRule="auto"/>
        <w:jc w:val="center"/>
        <w:rPr>
          <w:rFonts w:hint="eastAsia" w:ascii="宋体" w:hAnsi="宋体" w:eastAsia="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4B8DCB3A">
        <w:tblPrEx>
          <w:tblCellMar>
            <w:top w:w="0" w:type="dxa"/>
            <w:left w:w="108" w:type="dxa"/>
            <w:bottom w:w="0" w:type="dxa"/>
            <w:right w:w="108" w:type="dxa"/>
          </w:tblCellMar>
        </w:tblPrEx>
        <w:trPr>
          <w:trHeight w:val="680" w:hRule="atLeast"/>
        </w:trPr>
        <w:tc>
          <w:tcPr>
            <w:tcW w:w="8789" w:type="dxa"/>
            <w:vAlign w:val="center"/>
          </w:tcPr>
          <w:p w14:paraId="449905E7">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sz w:val="28"/>
                <w:szCs w:val="28"/>
                <w:highlight w:val="none"/>
              </w:rPr>
              <w:t xml:space="preserve"> </w:t>
            </w:r>
            <w:r>
              <w:rPr>
                <w:rFonts w:hint="eastAsia" w:ascii="宋体" w:hAnsi="宋体" w:cs="宋体"/>
                <w:b/>
                <w:color w:val="auto"/>
                <w:sz w:val="28"/>
                <w:szCs w:val="28"/>
                <w:highlight w:val="none"/>
                <w:lang w:eastAsia="zh-CN"/>
              </w:rPr>
              <w:t>PYCG260608076</w:t>
            </w:r>
            <w:r>
              <w:rPr>
                <w:rFonts w:hint="eastAsia" w:ascii="宋体" w:hAnsi="宋体" w:eastAsia="宋体" w:cs="宋体"/>
                <w:b/>
                <w:color w:val="auto"/>
                <w:sz w:val="28"/>
                <w:szCs w:val="28"/>
                <w:highlight w:val="none"/>
              </w:rPr>
              <w:t xml:space="preserve">    </w:t>
            </w:r>
          </w:p>
        </w:tc>
      </w:tr>
      <w:tr w14:paraId="0616E4BE">
        <w:tblPrEx>
          <w:tblCellMar>
            <w:top w:w="0" w:type="dxa"/>
            <w:left w:w="108" w:type="dxa"/>
            <w:bottom w:w="0" w:type="dxa"/>
            <w:right w:w="108" w:type="dxa"/>
          </w:tblCellMar>
        </w:tblPrEx>
        <w:trPr>
          <w:trHeight w:val="680" w:hRule="atLeast"/>
        </w:trPr>
        <w:tc>
          <w:tcPr>
            <w:tcW w:w="8789" w:type="dxa"/>
            <w:vAlign w:val="center"/>
          </w:tcPr>
          <w:p w14:paraId="060DF067">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w:t>
            </w:r>
          </w:p>
        </w:tc>
      </w:tr>
      <w:tr w14:paraId="0BEBCACF">
        <w:tblPrEx>
          <w:tblCellMar>
            <w:top w:w="0" w:type="dxa"/>
            <w:left w:w="108" w:type="dxa"/>
            <w:bottom w:w="0" w:type="dxa"/>
            <w:right w:w="108" w:type="dxa"/>
          </w:tblCellMar>
        </w:tblPrEx>
        <w:trPr>
          <w:trHeight w:val="680" w:hRule="atLeast"/>
        </w:trPr>
        <w:tc>
          <w:tcPr>
            <w:tcW w:w="8789" w:type="dxa"/>
            <w:vAlign w:val="center"/>
          </w:tcPr>
          <w:p w14:paraId="758A4476">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w:t>
            </w:r>
          </w:p>
        </w:tc>
      </w:tr>
      <w:tr w14:paraId="2B2FD4F2">
        <w:tblPrEx>
          <w:tblCellMar>
            <w:top w:w="0" w:type="dxa"/>
            <w:left w:w="108" w:type="dxa"/>
            <w:bottom w:w="0" w:type="dxa"/>
            <w:right w:w="108" w:type="dxa"/>
          </w:tblCellMar>
        </w:tblPrEx>
        <w:trPr>
          <w:trHeight w:val="680" w:hRule="atLeast"/>
        </w:trPr>
        <w:tc>
          <w:tcPr>
            <w:tcW w:w="8789" w:type="dxa"/>
            <w:vAlign w:val="center"/>
          </w:tcPr>
          <w:p w14:paraId="5769F3D9">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法定代表人或其授权代表（签字或签章）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w:t>
            </w:r>
          </w:p>
        </w:tc>
      </w:tr>
      <w:tr w14:paraId="66C80700">
        <w:tblPrEx>
          <w:tblCellMar>
            <w:top w:w="0" w:type="dxa"/>
            <w:left w:w="108" w:type="dxa"/>
            <w:bottom w:w="0" w:type="dxa"/>
            <w:right w:w="108" w:type="dxa"/>
          </w:tblCellMar>
        </w:tblPrEx>
        <w:trPr>
          <w:trHeight w:val="680" w:hRule="atLeast"/>
        </w:trPr>
        <w:tc>
          <w:tcPr>
            <w:tcW w:w="8789" w:type="dxa"/>
            <w:vAlign w:val="center"/>
          </w:tcPr>
          <w:p w14:paraId="28463878">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__________________________________________________________</w:t>
            </w:r>
          </w:p>
        </w:tc>
      </w:tr>
      <w:tr w14:paraId="34ECFD60">
        <w:tblPrEx>
          <w:tblCellMar>
            <w:top w:w="0" w:type="dxa"/>
            <w:left w:w="108" w:type="dxa"/>
            <w:bottom w:w="0" w:type="dxa"/>
            <w:right w:w="108" w:type="dxa"/>
          </w:tblCellMar>
        </w:tblPrEx>
        <w:trPr>
          <w:trHeight w:val="335" w:hRule="atLeast"/>
        </w:trPr>
        <w:tc>
          <w:tcPr>
            <w:tcW w:w="8789" w:type="dxa"/>
            <w:vAlign w:val="center"/>
          </w:tcPr>
          <w:p w14:paraId="71A07B03">
            <w:pPr>
              <w:wordWrap w:val="0"/>
              <w:spacing w:line="360" w:lineRule="auto"/>
              <w:rPr>
                <w:rFonts w:hint="eastAsia" w:ascii="宋体" w:hAnsi="宋体" w:eastAsia="宋体" w:cs="宋体"/>
                <w:color w:val="auto"/>
                <w:sz w:val="28"/>
                <w:szCs w:val="28"/>
                <w:highlight w:val="none"/>
              </w:rPr>
            </w:pPr>
          </w:p>
        </w:tc>
      </w:tr>
      <w:tr w14:paraId="07886C83">
        <w:tblPrEx>
          <w:tblCellMar>
            <w:top w:w="0" w:type="dxa"/>
            <w:left w:w="108" w:type="dxa"/>
            <w:bottom w:w="0" w:type="dxa"/>
            <w:right w:w="108" w:type="dxa"/>
          </w:tblCellMar>
        </w:tblPrEx>
        <w:trPr>
          <w:trHeight w:val="680" w:hRule="atLeast"/>
        </w:trPr>
        <w:tc>
          <w:tcPr>
            <w:tcW w:w="8789" w:type="dxa"/>
            <w:vAlign w:val="center"/>
          </w:tcPr>
          <w:p w14:paraId="3D6CC297">
            <w:pPr>
              <w:wordWrap w:val="0"/>
              <w:spacing w:line="360" w:lineRule="auto"/>
              <w:jc w:val="center"/>
              <w:rPr>
                <w:rFonts w:hint="eastAsia" w:ascii="宋体" w:hAnsi="宋体" w:eastAsia="宋体" w:cs="宋体"/>
                <w:b/>
                <w:color w:val="auto"/>
                <w:sz w:val="28"/>
                <w:szCs w:val="28"/>
                <w:highlight w:val="none"/>
              </w:rPr>
            </w:pPr>
          </w:p>
        </w:tc>
      </w:tr>
    </w:tbl>
    <w:p w14:paraId="5C85111D">
      <w:pPr>
        <w:wordWrap w:val="0"/>
        <w:autoSpaceDE w:val="0"/>
        <w:autoSpaceDN w:val="0"/>
        <w:adjustRightInd w:val="0"/>
        <w:snapToGrid w:val="0"/>
        <w:spacing w:line="360" w:lineRule="auto"/>
        <w:rPr>
          <w:rFonts w:hint="eastAsia" w:ascii="宋体" w:hAnsi="宋体" w:eastAsia="宋体" w:cs="宋体"/>
          <w:color w:val="auto"/>
          <w:highlight w:val="none"/>
        </w:rPr>
        <w:sectPr>
          <w:headerReference r:id="rId6" w:type="first"/>
          <w:footerReference r:id="rId8" w:type="first"/>
          <w:headerReference r:id="rId5" w:type="default"/>
          <w:footerReference r:id="rId7" w:type="default"/>
          <w:pgSz w:w="11906" w:h="16838"/>
          <w:pgMar w:top="1440" w:right="748" w:bottom="1440" w:left="1361" w:header="720" w:footer="720" w:gutter="0"/>
          <w:cols w:space="720" w:num="1"/>
          <w:titlePg/>
          <w:docGrid w:linePitch="286" w:charSpace="-3831"/>
        </w:sectPr>
      </w:pPr>
    </w:p>
    <w:p w14:paraId="78E8A72C">
      <w:pPr>
        <w:pStyle w:val="5"/>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2.2 开标一览表</w:t>
      </w:r>
    </w:p>
    <w:p w14:paraId="649BCE47">
      <w:pPr>
        <w:pStyle w:val="14"/>
        <w:wordWrap w:val="0"/>
        <w:adjustRightInd w:val="0"/>
        <w:snapToGrid w:val="0"/>
        <w:spacing w:line="360" w:lineRule="auto"/>
        <w:jc w:val="center"/>
        <w:rPr>
          <w:rFonts w:hint="eastAsia" w:ascii="宋体" w:hAnsi="宋体" w:eastAsia="宋体" w:cs="宋体"/>
          <w:color w:val="auto"/>
          <w:sz w:val="36"/>
          <w:szCs w:val="36"/>
          <w:highlight w:val="none"/>
        </w:rPr>
      </w:pPr>
      <w:r>
        <w:rPr>
          <w:rFonts w:hint="eastAsia" w:ascii="宋体" w:hAnsi="宋体" w:eastAsia="宋体" w:cs="宋体"/>
          <w:color w:val="auto"/>
          <w:sz w:val="36"/>
          <w:szCs w:val="36"/>
          <w:highlight w:val="none"/>
        </w:rPr>
        <w:t>开标一览表</w:t>
      </w:r>
    </w:p>
    <w:p w14:paraId="76046502">
      <w:pPr>
        <w:pStyle w:val="14"/>
        <w:wordWrap w:val="0"/>
        <w:adjustRightInd w:val="0"/>
        <w:snapToGrid w:val="0"/>
        <w:spacing w:line="360" w:lineRule="auto"/>
        <w:rPr>
          <w:rFonts w:hint="eastAsia" w:ascii="宋体" w:hAnsi="宋体" w:eastAsia="宋体" w:cs="宋体"/>
          <w:color w:val="auto"/>
          <w:sz w:val="36"/>
          <w:szCs w:val="36"/>
          <w:highlight w:val="none"/>
        </w:rPr>
      </w:pPr>
    </w:p>
    <w:p w14:paraId="0F6944F6">
      <w:pPr>
        <w:pStyle w:val="14"/>
        <w:wordWrap w:val="0"/>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项目编号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 xml:space="preserve">          </w:t>
      </w:r>
    </w:p>
    <w:tbl>
      <w:tblPr>
        <w:tblStyle w:val="2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3"/>
        <w:gridCol w:w="4320"/>
        <w:gridCol w:w="2339"/>
      </w:tblGrid>
      <w:tr w14:paraId="352CF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2623" w:type="dxa"/>
            <w:vAlign w:val="center"/>
          </w:tcPr>
          <w:p w14:paraId="09F7D99A">
            <w:pPr>
              <w:wordWrap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项目名称</w:t>
            </w:r>
          </w:p>
        </w:tc>
        <w:tc>
          <w:tcPr>
            <w:tcW w:w="4320" w:type="dxa"/>
            <w:vAlign w:val="center"/>
          </w:tcPr>
          <w:p w14:paraId="5A023C4F">
            <w:pPr>
              <w:wordWrap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投标报价</w:t>
            </w:r>
            <w:r>
              <w:rPr>
                <w:rFonts w:hint="eastAsia" w:ascii="宋体" w:hAnsi="宋体" w:eastAsia="宋体" w:cs="宋体"/>
                <w:color w:val="auto"/>
                <w:sz w:val="24"/>
                <w:highlight w:val="none"/>
                <w:lang w:val="en-US" w:eastAsia="zh-CN"/>
              </w:rPr>
              <w:t>折扣率</w:t>
            </w:r>
            <w:r>
              <w:rPr>
                <w:rFonts w:hint="eastAsia" w:ascii="宋体" w:hAnsi="宋体" w:eastAsia="宋体" w:cs="宋体"/>
                <w:color w:val="auto"/>
                <w:sz w:val="24"/>
                <w:highlight w:val="none"/>
              </w:rPr>
              <w:t>（元）</w:t>
            </w:r>
          </w:p>
        </w:tc>
        <w:tc>
          <w:tcPr>
            <w:tcW w:w="2339" w:type="dxa"/>
            <w:vAlign w:val="center"/>
          </w:tcPr>
          <w:p w14:paraId="6F181FB8">
            <w:pPr>
              <w:wordWrap w:val="0"/>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备注</w:t>
            </w:r>
          </w:p>
        </w:tc>
      </w:tr>
      <w:tr w14:paraId="6D6E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1" w:hRule="atLeast"/>
        </w:trPr>
        <w:tc>
          <w:tcPr>
            <w:tcW w:w="2623" w:type="dxa"/>
            <w:vAlign w:val="center"/>
          </w:tcPr>
          <w:p w14:paraId="7CDE4781">
            <w:pPr>
              <w:wordWrap w:val="0"/>
              <w:spacing w:line="360" w:lineRule="auto"/>
              <w:jc w:val="center"/>
              <w:rPr>
                <w:rFonts w:hint="eastAsia" w:ascii="宋体" w:hAnsi="宋体" w:eastAsia="宋体" w:cs="宋体"/>
                <w:color w:val="auto"/>
                <w:sz w:val="24"/>
                <w:highlight w:val="none"/>
                <w:lang w:eastAsia="zh-CN"/>
              </w:rPr>
            </w:pPr>
            <w:r>
              <w:rPr>
                <w:rFonts w:hint="eastAsia" w:ascii="宋体" w:hAnsi="宋体" w:cs="宋体"/>
                <w:color w:val="auto"/>
                <w:sz w:val="24"/>
                <w:highlight w:val="none"/>
                <w:lang w:eastAsia="zh-CN"/>
              </w:rPr>
              <w:t>2026年度采购雁荡山君澜度假酒店液化天然气（LNG）、运输及天然气站维护服务采购</w:t>
            </w:r>
          </w:p>
        </w:tc>
        <w:tc>
          <w:tcPr>
            <w:tcW w:w="4320" w:type="dxa"/>
            <w:vAlign w:val="center"/>
          </w:tcPr>
          <w:p w14:paraId="57A56F4F">
            <w:pPr>
              <w:pStyle w:val="10"/>
              <w:wordWrap w:val="0"/>
              <w:spacing w:after="0" w:line="360" w:lineRule="auto"/>
              <w:ind w:firstLine="0" w:firstLineChars="0"/>
              <w:jc w:val="center"/>
              <w:rPr>
                <w:rFonts w:hint="eastAsia" w:ascii="宋体" w:hAnsi="宋体" w:eastAsia="宋体" w:cs="宋体"/>
                <w:color w:val="auto"/>
                <w:highlight w:val="none"/>
                <w:lang w:val="en-US" w:eastAsia="zh-CN"/>
              </w:rPr>
            </w:pP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lang w:val="en-US" w:eastAsia="zh-CN"/>
              </w:rPr>
              <w:t>%（保留两位小数）</w:t>
            </w:r>
          </w:p>
        </w:tc>
        <w:tc>
          <w:tcPr>
            <w:tcW w:w="2339" w:type="dxa"/>
            <w:vAlign w:val="center"/>
          </w:tcPr>
          <w:p w14:paraId="27A64BFA">
            <w:pPr>
              <w:wordWrap w:val="0"/>
              <w:spacing w:line="360" w:lineRule="auto"/>
              <w:jc w:val="center"/>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最高投标折扣率限价100%</w:t>
            </w:r>
          </w:p>
        </w:tc>
      </w:tr>
    </w:tbl>
    <w:p w14:paraId="3A817C5F">
      <w:pPr>
        <w:pStyle w:val="22"/>
        <w:wordWrap w:val="0"/>
        <w:spacing w:line="360" w:lineRule="auto"/>
        <w:ind w:left="0" w:leftChars="0"/>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、▲不提供此表格的将视为没有实质性响应采购文件。</w:t>
      </w:r>
    </w:p>
    <w:p w14:paraId="4FE9B36A">
      <w:pPr>
        <w:wordWrap w:val="0"/>
        <w:autoSpaceDE w:val="0"/>
        <w:autoSpaceDN w:val="0"/>
        <w:adjustRightInd w:val="0"/>
        <w:spacing w:line="360" w:lineRule="auto"/>
        <w:rPr>
          <w:rFonts w:hint="eastAsia" w:ascii="宋体" w:hAnsi="宋体" w:eastAsia="宋体" w:cs="宋体"/>
          <w:color w:val="auto"/>
          <w:sz w:val="24"/>
          <w:highlight w:val="none"/>
          <w:lang w:val="zh-CN"/>
        </w:rPr>
      </w:pPr>
    </w:p>
    <w:p w14:paraId="2EBCE6CF">
      <w:pPr>
        <w:wordWrap w:val="0"/>
        <w:autoSpaceDE w:val="0"/>
        <w:autoSpaceDN w:val="0"/>
        <w:adjustRightInd w:val="0"/>
        <w:spacing w:line="360" w:lineRule="auto"/>
        <w:rPr>
          <w:rFonts w:hint="eastAsia" w:ascii="宋体" w:hAnsi="宋体" w:eastAsia="宋体" w:cs="宋体"/>
          <w:color w:val="auto"/>
          <w:sz w:val="24"/>
          <w:highlight w:val="none"/>
          <w:lang w:val="zh-CN"/>
        </w:rPr>
      </w:pPr>
    </w:p>
    <w:p w14:paraId="629F7DC7">
      <w:pPr>
        <w:wordWrap w:val="0"/>
        <w:autoSpaceDE w:val="0"/>
        <w:autoSpaceDN w:val="0"/>
        <w:adjustRightInd w:val="0"/>
        <w:spacing w:line="360" w:lineRule="auto"/>
        <w:rPr>
          <w:rFonts w:hint="eastAsia" w:ascii="宋体" w:hAnsi="宋体" w:eastAsia="宋体" w:cs="宋体"/>
          <w:color w:val="auto"/>
          <w:sz w:val="24"/>
          <w:highlight w:val="none"/>
          <w:lang w:val="zh-CN"/>
        </w:rPr>
      </w:pPr>
    </w:p>
    <w:p w14:paraId="06F6820C">
      <w:pPr>
        <w:wordWrap w:val="0"/>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供应商全称（盖章）：</w:t>
      </w:r>
    </w:p>
    <w:p w14:paraId="553C9105">
      <w:pPr>
        <w:wordWrap w:val="0"/>
        <w:autoSpaceDE w:val="0"/>
        <w:autoSpaceDN w:val="0"/>
        <w:adjustRightInd w:val="0"/>
        <w:spacing w:line="360" w:lineRule="auto"/>
        <w:rPr>
          <w:rFonts w:hint="eastAsia" w:ascii="宋体" w:hAnsi="宋体" w:eastAsia="宋体" w:cs="宋体"/>
          <w:color w:val="auto"/>
          <w:sz w:val="24"/>
          <w:highlight w:val="none"/>
          <w:lang w:val="zh-CN"/>
        </w:rPr>
      </w:pPr>
      <w:r>
        <w:rPr>
          <w:rFonts w:hint="eastAsia" w:ascii="宋体" w:hAnsi="宋体" w:eastAsia="宋体" w:cs="宋体"/>
          <w:color w:val="auto"/>
          <w:sz w:val="24"/>
          <w:highlight w:val="none"/>
          <w:lang w:val="zh-CN"/>
        </w:rPr>
        <w:t>法定代表人或授权代表（签字或盖章）：</w:t>
      </w:r>
    </w:p>
    <w:p w14:paraId="722BE74D">
      <w:pPr>
        <w:wordWrap w:val="0"/>
        <w:autoSpaceDE w:val="0"/>
        <w:autoSpaceDN w:val="0"/>
        <w:adjustRightInd w:val="0"/>
        <w:spacing w:line="360" w:lineRule="auto"/>
        <w:rPr>
          <w:rFonts w:hint="eastAsia" w:ascii="宋体" w:hAnsi="宋体" w:eastAsia="宋体" w:cs="宋体"/>
          <w:b/>
          <w:color w:val="auto"/>
          <w:sz w:val="24"/>
          <w:highlight w:val="none"/>
          <w:lang w:val="zh-CN"/>
        </w:rPr>
      </w:pPr>
      <w:r>
        <w:rPr>
          <w:rFonts w:hint="eastAsia" w:ascii="宋体" w:hAnsi="宋体" w:eastAsia="宋体" w:cs="宋体"/>
          <w:color w:val="auto"/>
          <w:sz w:val="24"/>
          <w:highlight w:val="none"/>
          <w:lang w:val="zh-CN"/>
        </w:rPr>
        <w:t>日期：</w:t>
      </w:r>
    </w:p>
    <w:p w14:paraId="1DF799E2">
      <w:pPr>
        <w:rPr>
          <w:rFonts w:hint="eastAsia" w:ascii="宋体" w:hAnsi="宋体" w:eastAsia="宋体" w:cs="宋体"/>
          <w:b/>
          <w:color w:val="auto"/>
          <w:sz w:val="24"/>
          <w:highlight w:val="none"/>
          <w:lang w:val="zh-CN"/>
        </w:rPr>
      </w:pPr>
      <w:r>
        <w:rPr>
          <w:rFonts w:hint="eastAsia" w:ascii="宋体" w:hAnsi="宋体" w:eastAsia="宋体" w:cs="宋体"/>
          <w:b/>
          <w:color w:val="auto"/>
          <w:sz w:val="24"/>
          <w:highlight w:val="none"/>
          <w:lang w:val="zh-CN"/>
        </w:rPr>
        <w:br w:type="page"/>
      </w:r>
    </w:p>
    <w:p w14:paraId="49A9E5C0">
      <w:pPr>
        <w:pStyle w:val="3"/>
        <w:wordWrap w:val="0"/>
        <w:spacing w:before="0" w:after="0" w:line="360" w:lineRule="auto"/>
        <w:rPr>
          <w:rFonts w:hint="eastAsia" w:ascii="宋体" w:hAnsi="宋体" w:eastAsia="宋体" w:cs="宋体"/>
          <w:color w:val="auto"/>
          <w:highlight w:val="none"/>
        </w:rPr>
      </w:pPr>
      <w:bookmarkStart w:id="74" w:name="_Toc8008423"/>
      <w:bookmarkStart w:id="75" w:name="_Toc20870"/>
      <w:bookmarkStart w:id="76" w:name="_Toc7988414"/>
      <w:bookmarkStart w:id="77" w:name="_Toc424164168"/>
      <w:bookmarkStart w:id="78" w:name="_Toc26898"/>
      <w:bookmarkStart w:id="79" w:name="_Toc11423"/>
      <w:bookmarkStart w:id="80" w:name="_Toc13216"/>
      <w:bookmarkStart w:id="81" w:name="_Toc30408915"/>
      <w:bookmarkStart w:id="82" w:name="_Toc7988468"/>
      <w:bookmarkStart w:id="83" w:name="_Toc12912"/>
      <w:bookmarkStart w:id="84" w:name="_Toc440162800"/>
      <w:bookmarkStart w:id="85" w:name="_Toc24550050"/>
      <w:r>
        <w:rPr>
          <w:rFonts w:hint="eastAsia" w:ascii="宋体" w:hAnsi="宋体" w:eastAsia="宋体" w:cs="宋体"/>
          <w:color w:val="auto"/>
          <w:highlight w:val="none"/>
        </w:rPr>
        <w:t>三、“商务技术文件”格式</w:t>
      </w:r>
      <w:bookmarkEnd w:id="74"/>
      <w:bookmarkEnd w:id="75"/>
      <w:bookmarkEnd w:id="76"/>
      <w:bookmarkEnd w:id="77"/>
      <w:bookmarkEnd w:id="78"/>
      <w:bookmarkEnd w:id="79"/>
      <w:bookmarkEnd w:id="80"/>
      <w:bookmarkEnd w:id="81"/>
      <w:bookmarkEnd w:id="82"/>
      <w:bookmarkEnd w:id="83"/>
      <w:bookmarkEnd w:id="84"/>
      <w:bookmarkEnd w:id="85"/>
    </w:p>
    <w:p w14:paraId="0A3DAE03">
      <w:pPr>
        <w:pStyle w:val="4"/>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3.1 “商务技术文件”封面</w:t>
      </w:r>
    </w:p>
    <w:p w14:paraId="483C644E">
      <w:pPr>
        <w:wordWrap w:val="0"/>
        <w:spacing w:line="360" w:lineRule="auto"/>
        <w:jc w:val="right"/>
        <w:rPr>
          <w:rFonts w:hint="eastAsia" w:ascii="宋体" w:hAnsi="宋体" w:eastAsia="宋体" w:cs="宋体"/>
          <w:b/>
          <w:color w:val="auto"/>
          <w:sz w:val="32"/>
          <w:szCs w:val="22"/>
          <w:highlight w:val="none"/>
        </w:rPr>
      </w:pPr>
    </w:p>
    <w:p w14:paraId="309A7920">
      <w:pPr>
        <w:wordWrap w:val="0"/>
        <w:spacing w:line="360" w:lineRule="auto"/>
        <w:jc w:val="center"/>
        <w:rPr>
          <w:rFonts w:hint="eastAsia" w:ascii="宋体" w:hAnsi="宋体" w:eastAsia="宋体" w:cs="宋体"/>
          <w:b/>
          <w:color w:val="auto"/>
          <w:w w:val="90"/>
          <w:sz w:val="220"/>
          <w:szCs w:val="22"/>
          <w:highlight w:val="none"/>
        </w:rPr>
      </w:pPr>
      <w:r>
        <w:rPr>
          <w:rFonts w:hint="eastAsia" w:ascii="宋体" w:hAnsi="宋体" w:cs="宋体"/>
          <w:b/>
          <w:color w:val="auto"/>
          <w:w w:val="90"/>
          <w:sz w:val="44"/>
          <w:szCs w:val="22"/>
          <w:highlight w:val="none"/>
          <w:lang w:eastAsia="zh-CN"/>
        </w:rPr>
        <w:t>2026年度采购雁荡山君澜度假酒店液化天然气（LNG）、运输及天然气站维护服务采购</w:t>
      </w:r>
      <w:r>
        <w:rPr>
          <w:rFonts w:hint="eastAsia" w:ascii="宋体" w:hAnsi="宋体" w:eastAsia="宋体" w:cs="宋体"/>
          <w:b/>
          <w:color w:val="auto"/>
          <w:w w:val="90"/>
          <w:sz w:val="44"/>
          <w:szCs w:val="22"/>
          <w:highlight w:val="none"/>
        </w:rPr>
        <w:t>项目</w:t>
      </w:r>
    </w:p>
    <w:p w14:paraId="78F5CC93">
      <w:pPr>
        <w:wordWrap w:val="0"/>
        <w:spacing w:line="360" w:lineRule="auto"/>
        <w:jc w:val="center"/>
        <w:rPr>
          <w:rFonts w:hint="eastAsia" w:ascii="宋体" w:hAnsi="宋体" w:eastAsia="宋体" w:cs="宋体"/>
          <w:b/>
          <w:color w:val="auto"/>
          <w:sz w:val="52"/>
          <w:szCs w:val="22"/>
          <w:highlight w:val="none"/>
        </w:rPr>
      </w:pPr>
    </w:p>
    <w:p w14:paraId="2C44C84E">
      <w:pPr>
        <w:wordWrap w:val="0"/>
        <w:spacing w:line="360" w:lineRule="auto"/>
        <w:jc w:val="center"/>
        <w:rPr>
          <w:rFonts w:hint="eastAsia" w:ascii="宋体" w:hAnsi="宋体" w:eastAsia="宋体" w:cs="宋体"/>
          <w:color w:val="auto"/>
          <w:sz w:val="96"/>
          <w:szCs w:val="22"/>
          <w:highlight w:val="none"/>
        </w:rPr>
      </w:pPr>
      <w:r>
        <w:rPr>
          <w:rFonts w:hint="eastAsia" w:ascii="宋体" w:hAnsi="宋体" w:eastAsia="宋体" w:cs="宋体"/>
          <w:color w:val="auto"/>
          <w:sz w:val="96"/>
          <w:szCs w:val="22"/>
          <w:highlight w:val="none"/>
        </w:rPr>
        <w:t>投 标 文 件</w:t>
      </w:r>
    </w:p>
    <w:p w14:paraId="762A2608">
      <w:pPr>
        <w:wordWrap w:val="0"/>
        <w:spacing w:line="360" w:lineRule="auto"/>
        <w:jc w:val="center"/>
        <w:rPr>
          <w:rFonts w:hint="eastAsia" w:ascii="宋体" w:hAnsi="宋体" w:eastAsia="宋体" w:cs="宋体"/>
          <w:b/>
          <w:color w:val="auto"/>
          <w:sz w:val="52"/>
          <w:szCs w:val="22"/>
          <w:highlight w:val="none"/>
        </w:rPr>
      </w:pPr>
      <w:r>
        <w:rPr>
          <w:rFonts w:hint="eastAsia" w:ascii="宋体" w:hAnsi="宋体" w:eastAsia="宋体" w:cs="宋体"/>
          <w:b/>
          <w:color w:val="auto"/>
          <w:sz w:val="52"/>
          <w:szCs w:val="22"/>
          <w:highlight w:val="none"/>
        </w:rPr>
        <w:t>（商务技术文件）</w:t>
      </w:r>
    </w:p>
    <w:p w14:paraId="2A2C93BD">
      <w:pPr>
        <w:wordWrap w:val="0"/>
        <w:spacing w:line="360" w:lineRule="auto"/>
        <w:jc w:val="center"/>
        <w:rPr>
          <w:rFonts w:hint="eastAsia" w:ascii="宋体" w:hAnsi="宋体" w:eastAsia="宋体" w:cs="宋体"/>
          <w:b/>
          <w:color w:val="auto"/>
          <w:sz w:val="52"/>
          <w:szCs w:val="22"/>
          <w:highlight w:val="none"/>
        </w:rPr>
      </w:pPr>
    </w:p>
    <w:tbl>
      <w:tblPr>
        <w:tblStyle w:val="28"/>
        <w:tblW w:w="0" w:type="auto"/>
        <w:tblInd w:w="250" w:type="dxa"/>
        <w:tblLayout w:type="fixed"/>
        <w:tblCellMar>
          <w:top w:w="0" w:type="dxa"/>
          <w:left w:w="108" w:type="dxa"/>
          <w:bottom w:w="0" w:type="dxa"/>
          <w:right w:w="108" w:type="dxa"/>
        </w:tblCellMar>
      </w:tblPr>
      <w:tblGrid>
        <w:gridCol w:w="8789"/>
      </w:tblGrid>
      <w:tr w14:paraId="33E13086">
        <w:tblPrEx>
          <w:tblCellMar>
            <w:top w:w="0" w:type="dxa"/>
            <w:left w:w="108" w:type="dxa"/>
            <w:bottom w:w="0" w:type="dxa"/>
            <w:right w:w="108" w:type="dxa"/>
          </w:tblCellMar>
        </w:tblPrEx>
        <w:trPr>
          <w:trHeight w:val="680" w:hRule="atLeast"/>
        </w:trPr>
        <w:tc>
          <w:tcPr>
            <w:tcW w:w="8789" w:type="dxa"/>
            <w:vAlign w:val="center"/>
          </w:tcPr>
          <w:p w14:paraId="03B6AD8B">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项目编号</w:t>
            </w:r>
            <w:r>
              <w:rPr>
                <w:rFonts w:hint="eastAsia" w:ascii="宋体" w:hAnsi="宋体" w:eastAsia="宋体" w:cs="宋体"/>
                <w:b/>
                <w:color w:val="auto"/>
                <w:sz w:val="28"/>
                <w:szCs w:val="28"/>
                <w:highlight w:val="none"/>
                <w:lang w:eastAsia="zh-CN"/>
              </w:rPr>
              <w:t>：</w:t>
            </w:r>
            <w:r>
              <w:rPr>
                <w:rFonts w:hint="eastAsia" w:ascii="宋体" w:hAnsi="宋体" w:cs="宋体"/>
                <w:b/>
                <w:color w:val="auto"/>
                <w:sz w:val="28"/>
                <w:szCs w:val="28"/>
                <w:highlight w:val="none"/>
                <w:lang w:eastAsia="zh-CN"/>
              </w:rPr>
              <w:t>PYCG260608076</w:t>
            </w:r>
            <w:r>
              <w:rPr>
                <w:rFonts w:hint="eastAsia" w:ascii="宋体" w:hAnsi="宋体" w:eastAsia="宋体" w:cs="宋体"/>
                <w:b/>
                <w:color w:val="auto"/>
                <w:sz w:val="28"/>
                <w:szCs w:val="28"/>
                <w:highlight w:val="none"/>
              </w:rPr>
              <w:t xml:space="preserve">   </w:t>
            </w:r>
          </w:p>
        </w:tc>
      </w:tr>
      <w:tr w14:paraId="0CA3238E">
        <w:tblPrEx>
          <w:tblCellMar>
            <w:top w:w="0" w:type="dxa"/>
            <w:left w:w="108" w:type="dxa"/>
            <w:bottom w:w="0" w:type="dxa"/>
            <w:right w:w="108" w:type="dxa"/>
          </w:tblCellMar>
        </w:tblPrEx>
        <w:trPr>
          <w:trHeight w:val="680" w:hRule="atLeast"/>
        </w:trPr>
        <w:tc>
          <w:tcPr>
            <w:tcW w:w="8789" w:type="dxa"/>
            <w:vAlign w:val="center"/>
          </w:tcPr>
          <w:p w14:paraId="38D16082">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供应商名称（盖章）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w:t>
            </w:r>
          </w:p>
        </w:tc>
      </w:tr>
      <w:tr w14:paraId="2FA23255">
        <w:tblPrEx>
          <w:tblCellMar>
            <w:top w:w="0" w:type="dxa"/>
            <w:left w:w="108" w:type="dxa"/>
            <w:bottom w:w="0" w:type="dxa"/>
            <w:right w:w="108" w:type="dxa"/>
          </w:tblCellMar>
        </w:tblPrEx>
        <w:trPr>
          <w:trHeight w:val="680" w:hRule="atLeast"/>
        </w:trPr>
        <w:tc>
          <w:tcPr>
            <w:tcW w:w="8789" w:type="dxa"/>
            <w:vAlign w:val="center"/>
          </w:tcPr>
          <w:p w14:paraId="5BC1709E">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供应商地址</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w:t>
            </w:r>
          </w:p>
        </w:tc>
      </w:tr>
      <w:tr w14:paraId="73589A46">
        <w:tblPrEx>
          <w:tblCellMar>
            <w:top w:w="0" w:type="dxa"/>
            <w:left w:w="108" w:type="dxa"/>
            <w:bottom w:w="0" w:type="dxa"/>
            <w:right w:w="108" w:type="dxa"/>
          </w:tblCellMar>
        </w:tblPrEx>
        <w:trPr>
          <w:trHeight w:val="680" w:hRule="atLeast"/>
        </w:trPr>
        <w:tc>
          <w:tcPr>
            <w:tcW w:w="8789" w:type="dxa"/>
            <w:vAlign w:val="center"/>
          </w:tcPr>
          <w:p w14:paraId="6D8D940A">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法定代表人或其授权代表（签字或盖章）</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w:t>
            </w:r>
          </w:p>
        </w:tc>
      </w:tr>
      <w:tr w14:paraId="74C06A30">
        <w:tblPrEx>
          <w:tblCellMar>
            <w:top w:w="0" w:type="dxa"/>
            <w:left w:w="108" w:type="dxa"/>
            <w:bottom w:w="0" w:type="dxa"/>
            <w:right w:w="108" w:type="dxa"/>
          </w:tblCellMar>
        </w:tblPrEx>
        <w:trPr>
          <w:trHeight w:val="680" w:hRule="atLeast"/>
        </w:trPr>
        <w:tc>
          <w:tcPr>
            <w:tcW w:w="8789" w:type="dxa"/>
            <w:vAlign w:val="center"/>
          </w:tcPr>
          <w:p w14:paraId="33D2FB7D">
            <w:pPr>
              <w:wordWrap w:val="0"/>
              <w:spacing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日期</w:t>
            </w:r>
            <w:r>
              <w:rPr>
                <w:rFonts w:hint="eastAsia" w:ascii="宋体" w:hAnsi="宋体" w:eastAsia="宋体" w:cs="宋体"/>
                <w:b/>
                <w:color w:val="auto"/>
                <w:sz w:val="28"/>
                <w:szCs w:val="28"/>
                <w:highlight w:val="none"/>
                <w:lang w:eastAsia="zh-CN"/>
              </w:rPr>
              <w:t>：</w:t>
            </w:r>
            <w:r>
              <w:rPr>
                <w:rFonts w:hint="eastAsia" w:ascii="宋体" w:hAnsi="宋体" w:eastAsia="宋体" w:cs="宋体"/>
                <w:b/>
                <w:color w:val="auto"/>
                <w:w w:val="90"/>
                <w:sz w:val="28"/>
                <w:szCs w:val="28"/>
                <w:highlight w:val="none"/>
              </w:rPr>
              <w:t>__________________________________________________________</w:t>
            </w:r>
          </w:p>
        </w:tc>
      </w:tr>
      <w:tr w14:paraId="3AEF193E">
        <w:tblPrEx>
          <w:tblCellMar>
            <w:top w:w="0" w:type="dxa"/>
            <w:left w:w="108" w:type="dxa"/>
            <w:bottom w:w="0" w:type="dxa"/>
            <w:right w:w="108" w:type="dxa"/>
          </w:tblCellMar>
        </w:tblPrEx>
        <w:trPr>
          <w:trHeight w:val="335" w:hRule="atLeast"/>
        </w:trPr>
        <w:tc>
          <w:tcPr>
            <w:tcW w:w="8789" w:type="dxa"/>
            <w:vAlign w:val="center"/>
          </w:tcPr>
          <w:p w14:paraId="2B6699A9">
            <w:pPr>
              <w:wordWrap w:val="0"/>
              <w:spacing w:line="360" w:lineRule="auto"/>
              <w:rPr>
                <w:rFonts w:hint="eastAsia" w:ascii="宋体" w:hAnsi="宋体" w:eastAsia="宋体" w:cs="宋体"/>
                <w:color w:val="auto"/>
                <w:sz w:val="28"/>
                <w:szCs w:val="28"/>
                <w:highlight w:val="none"/>
              </w:rPr>
            </w:pPr>
          </w:p>
        </w:tc>
      </w:tr>
    </w:tbl>
    <w:p w14:paraId="730C7801">
      <w:pPr>
        <w:wordWrap w:val="0"/>
        <w:spacing w:line="360" w:lineRule="auto"/>
        <w:rPr>
          <w:rFonts w:hint="eastAsia" w:ascii="宋体" w:hAnsi="宋体" w:eastAsia="宋体" w:cs="宋体"/>
          <w:color w:val="auto"/>
          <w:highlight w:val="none"/>
        </w:rPr>
      </w:pPr>
    </w:p>
    <w:p w14:paraId="2F19048E">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0D93826A">
      <w:pPr>
        <w:pStyle w:val="4"/>
        <w:wordWrap w:val="0"/>
        <w:spacing w:before="0"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3.2供应商自评分指引表</w:t>
      </w:r>
    </w:p>
    <w:tbl>
      <w:tblPr>
        <w:tblStyle w:val="28"/>
        <w:tblW w:w="0" w:type="auto"/>
        <w:tblInd w:w="0" w:type="dxa"/>
        <w:tblLayout w:type="fixed"/>
        <w:tblCellMar>
          <w:top w:w="0" w:type="dxa"/>
          <w:left w:w="0" w:type="dxa"/>
          <w:bottom w:w="0" w:type="dxa"/>
          <w:right w:w="0" w:type="dxa"/>
        </w:tblCellMar>
      </w:tblPr>
      <w:tblGrid>
        <w:gridCol w:w="1095"/>
        <w:gridCol w:w="7470"/>
        <w:gridCol w:w="1340"/>
      </w:tblGrid>
      <w:tr w14:paraId="31890E0C">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13AC3A">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序号</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861EF60">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评分项目</w:t>
            </w: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31B2220">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投标文件索引（页码）</w:t>
            </w:r>
          </w:p>
        </w:tc>
      </w:tr>
      <w:tr w14:paraId="23805A54">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7E25C60">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1C56D7">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55F9ED">
            <w:pPr>
              <w:wordWrap w:val="0"/>
              <w:snapToGrid w:val="0"/>
              <w:spacing w:line="360" w:lineRule="auto"/>
              <w:jc w:val="center"/>
              <w:rPr>
                <w:rFonts w:hint="eastAsia" w:ascii="宋体" w:hAnsi="宋体" w:eastAsia="宋体" w:cs="宋体"/>
                <w:color w:val="auto"/>
                <w:sz w:val="22"/>
                <w:highlight w:val="none"/>
              </w:rPr>
            </w:pPr>
          </w:p>
        </w:tc>
      </w:tr>
      <w:tr w14:paraId="00C8865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2ADA52F">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2</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DA0BE7">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054195A">
            <w:pPr>
              <w:wordWrap w:val="0"/>
              <w:snapToGrid w:val="0"/>
              <w:spacing w:line="360" w:lineRule="auto"/>
              <w:jc w:val="center"/>
              <w:rPr>
                <w:rFonts w:hint="eastAsia" w:ascii="宋体" w:hAnsi="宋体" w:eastAsia="宋体" w:cs="宋体"/>
                <w:color w:val="auto"/>
                <w:sz w:val="22"/>
                <w:highlight w:val="none"/>
              </w:rPr>
            </w:pPr>
          </w:p>
        </w:tc>
      </w:tr>
      <w:tr w14:paraId="3601DF0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5360AA8">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3</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B1CD964">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0ABC8F">
            <w:pPr>
              <w:wordWrap w:val="0"/>
              <w:snapToGrid w:val="0"/>
              <w:spacing w:line="360" w:lineRule="auto"/>
              <w:jc w:val="center"/>
              <w:rPr>
                <w:rFonts w:hint="eastAsia" w:ascii="宋体" w:hAnsi="宋体" w:eastAsia="宋体" w:cs="宋体"/>
                <w:color w:val="auto"/>
                <w:sz w:val="22"/>
                <w:highlight w:val="none"/>
              </w:rPr>
            </w:pPr>
          </w:p>
        </w:tc>
      </w:tr>
      <w:tr w14:paraId="759AB04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453682F">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4</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E85FC9E">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908F37">
            <w:pPr>
              <w:wordWrap w:val="0"/>
              <w:snapToGrid w:val="0"/>
              <w:spacing w:line="360" w:lineRule="auto"/>
              <w:jc w:val="center"/>
              <w:rPr>
                <w:rFonts w:hint="eastAsia" w:ascii="宋体" w:hAnsi="宋体" w:eastAsia="宋体" w:cs="宋体"/>
                <w:color w:val="auto"/>
                <w:sz w:val="22"/>
                <w:highlight w:val="none"/>
              </w:rPr>
            </w:pPr>
          </w:p>
        </w:tc>
      </w:tr>
      <w:tr w14:paraId="54C81763">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A85EC2">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5</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4D0F637">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76EA49">
            <w:pPr>
              <w:wordWrap w:val="0"/>
              <w:snapToGrid w:val="0"/>
              <w:spacing w:line="360" w:lineRule="auto"/>
              <w:jc w:val="center"/>
              <w:rPr>
                <w:rFonts w:hint="eastAsia" w:ascii="宋体" w:hAnsi="宋体" w:eastAsia="宋体" w:cs="宋体"/>
                <w:color w:val="auto"/>
                <w:sz w:val="22"/>
                <w:highlight w:val="none"/>
              </w:rPr>
            </w:pPr>
          </w:p>
        </w:tc>
      </w:tr>
      <w:tr w14:paraId="5206E86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7F0C3F">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6</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D572849">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2B8DC9E">
            <w:pPr>
              <w:wordWrap w:val="0"/>
              <w:snapToGrid w:val="0"/>
              <w:spacing w:line="360" w:lineRule="auto"/>
              <w:jc w:val="center"/>
              <w:rPr>
                <w:rFonts w:hint="eastAsia" w:ascii="宋体" w:hAnsi="宋体" w:eastAsia="宋体" w:cs="宋体"/>
                <w:color w:val="auto"/>
                <w:sz w:val="22"/>
                <w:highlight w:val="none"/>
              </w:rPr>
            </w:pPr>
          </w:p>
        </w:tc>
      </w:tr>
      <w:tr w14:paraId="2B5BE918">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406899A">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7</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34BE63">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98E6D6">
            <w:pPr>
              <w:wordWrap w:val="0"/>
              <w:snapToGrid w:val="0"/>
              <w:spacing w:line="360" w:lineRule="auto"/>
              <w:jc w:val="center"/>
              <w:rPr>
                <w:rFonts w:hint="eastAsia" w:ascii="宋体" w:hAnsi="宋体" w:eastAsia="宋体" w:cs="宋体"/>
                <w:color w:val="auto"/>
                <w:sz w:val="22"/>
                <w:highlight w:val="none"/>
              </w:rPr>
            </w:pPr>
          </w:p>
        </w:tc>
      </w:tr>
      <w:tr w14:paraId="2C26BD85">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FC5E858">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8</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9F0F2D">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28BCF1D">
            <w:pPr>
              <w:wordWrap w:val="0"/>
              <w:snapToGrid w:val="0"/>
              <w:spacing w:line="360" w:lineRule="auto"/>
              <w:jc w:val="center"/>
              <w:rPr>
                <w:rFonts w:hint="eastAsia" w:ascii="宋体" w:hAnsi="宋体" w:eastAsia="宋体" w:cs="宋体"/>
                <w:color w:val="auto"/>
                <w:sz w:val="22"/>
                <w:highlight w:val="none"/>
              </w:rPr>
            </w:pPr>
          </w:p>
        </w:tc>
      </w:tr>
      <w:tr w14:paraId="2E7F661E">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1C6CF81">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9</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923859">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A71678">
            <w:pPr>
              <w:wordWrap w:val="0"/>
              <w:snapToGrid w:val="0"/>
              <w:spacing w:line="360" w:lineRule="auto"/>
              <w:jc w:val="center"/>
              <w:rPr>
                <w:rFonts w:hint="eastAsia" w:ascii="宋体" w:hAnsi="宋体" w:eastAsia="宋体" w:cs="宋体"/>
                <w:color w:val="auto"/>
                <w:sz w:val="22"/>
                <w:highlight w:val="none"/>
              </w:rPr>
            </w:pPr>
          </w:p>
        </w:tc>
      </w:tr>
      <w:tr w14:paraId="45428751">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CE2FC9">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10</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1B8CBFE">
            <w:pPr>
              <w:wordWrap w:val="0"/>
              <w:snapToGrid w:val="0"/>
              <w:spacing w:line="360" w:lineRule="auto"/>
              <w:jc w:val="center"/>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D070A83">
            <w:pPr>
              <w:wordWrap w:val="0"/>
              <w:snapToGrid w:val="0"/>
              <w:spacing w:line="360" w:lineRule="auto"/>
              <w:jc w:val="center"/>
              <w:rPr>
                <w:rFonts w:hint="eastAsia" w:ascii="宋体" w:hAnsi="宋体" w:eastAsia="宋体" w:cs="宋体"/>
                <w:color w:val="auto"/>
                <w:sz w:val="22"/>
                <w:highlight w:val="none"/>
              </w:rPr>
            </w:pPr>
          </w:p>
        </w:tc>
      </w:tr>
      <w:tr w14:paraId="4990B5B0">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59A7134">
            <w:pPr>
              <w:wordWrap w:val="0"/>
              <w:snapToGrid w:val="0"/>
              <w:spacing w:line="360" w:lineRule="auto"/>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rPr>
              <w:t>11</w:t>
            </w: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F5F44A6">
            <w:pPr>
              <w:wordWrap w:val="0"/>
              <w:snapToGrid w:val="0"/>
              <w:spacing w:line="360" w:lineRule="auto"/>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BC039C">
            <w:pPr>
              <w:wordWrap w:val="0"/>
              <w:snapToGrid w:val="0"/>
              <w:spacing w:line="360" w:lineRule="auto"/>
              <w:jc w:val="center"/>
              <w:rPr>
                <w:rFonts w:hint="eastAsia" w:ascii="宋体" w:hAnsi="宋体" w:eastAsia="宋体" w:cs="宋体"/>
                <w:color w:val="auto"/>
                <w:sz w:val="22"/>
                <w:highlight w:val="none"/>
              </w:rPr>
            </w:pPr>
          </w:p>
        </w:tc>
      </w:tr>
      <w:tr w14:paraId="5EA09F8A">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0ADA91A">
            <w:pPr>
              <w:wordWrap w:val="0"/>
              <w:snapToGrid w:val="0"/>
              <w:spacing w:line="360" w:lineRule="auto"/>
              <w:jc w:val="center"/>
              <w:rPr>
                <w:rFonts w:hint="eastAsia" w:ascii="宋体" w:hAnsi="宋体" w:eastAsia="宋体" w:cs="宋体"/>
                <w:color w:val="auto"/>
                <w:sz w:val="22"/>
                <w:highlight w:val="none"/>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0ADB756">
            <w:pPr>
              <w:wordWrap w:val="0"/>
              <w:snapToGrid w:val="0"/>
              <w:spacing w:line="360" w:lineRule="auto"/>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987D11">
            <w:pPr>
              <w:wordWrap w:val="0"/>
              <w:snapToGrid w:val="0"/>
              <w:spacing w:line="360" w:lineRule="auto"/>
              <w:jc w:val="center"/>
              <w:rPr>
                <w:rFonts w:hint="eastAsia" w:ascii="宋体" w:hAnsi="宋体" w:eastAsia="宋体" w:cs="宋体"/>
                <w:color w:val="auto"/>
                <w:sz w:val="22"/>
                <w:highlight w:val="none"/>
              </w:rPr>
            </w:pPr>
          </w:p>
        </w:tc>
      </w:tr>
      <w:tr w14:paraId="2B89A829">
        <w:tblPrEx>
          <w:tblCellMar>
            <w:top w:w="0" w:type="dxa"/>
            <w:left w:w="0" w:type="dxa"/>
            <w:bottom w:w="0" w:type="dxa"/>
            <w:right w:w="0" w:type="dxa"/>
          </w:tblCellMar>
        </w:tblPrEx>
        <w:trPr>
          <w:trHeight w:val="600" w:hRule="atLeast"/>
        </w:trPr>
        <w:tc>
          <w:tcPr>
            <w:tcW w:w="10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BBBF95">
            <w:pPr>
              <w:wordWrap w:val="0"/>
              <w:snapToGrid w:val="0"/>
              <w:spacing w:line="360" w:lineRule="auto"/>
              <w:jc w:val="center"/>
              <w:rPr>
                <w:rFonts w:hint="eastAsia" w:ascii="宋体" w:hAnsi="宋体" w:eastAsia="宋体" w:cs="宋体"/>
                <w:color w:val="auto"/>
                <w:sz w:val="22"/>
                <w:highlight w:val="none"/>
              </w:rPr>
            </w:pPr>
          </w:p>
        </w:tc>
        <w:tc>
          <w:tcPr>
            <w:tcW w:w="74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069E704">
            <w:pPr>
              <w:wordWrap w:val="0"/>
              <w:snapToGrid w:val="0"/>
              <w:spacing w:line="360" w:lineRule="auto"/>
              <w:rPr>
                <w:rFonts w:hint="eastAsia" w:ascii="宋体" w:hAnsi="宋体" w:eastAsia="宋体" w:cs="宋体"/>
                <w:color w:val="auto"/>
                <w:sz w:val="22"/>
                <w:highlight w:val="none"/>
              </w:rPr>
            </w:pPr>
          </w:p>
        </w:tc>
        <w:tc>
          <w:tcPr>
            <w:tcW w:w="134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24A235">
            <w:pPr>
              <w:wordWrap w:val="0"/>
              <w:snapToGrid w:val="0"/>
              <w:spacing w:line="360" w:lineRule="auto"/>
              <w:jc w:val="center"/>
              <w:rPr>
                <w:rFonts w:hint="eastAsia" w:ascii="宋体" w:hAnsi="宋体" w:eastAsia="宋体" w:cs="宋体"/>
                <w:color w:val="auto"/>
                <w:sz w:val="22"/>
                <w:highlight w:val="none"/>
              </w:rPr>
            </w:pPr>
          </w:p>
        </w:tc>
      </w:tr>
    </w:tbl>
    <w:p w14:paraId="66F25D0C">
      <w:pPr>
        <w:wordWrap w:val="0"/>
        <w:spacing w:line="360" w:lineRule="auto"/>
        <w:rPr>
          <w:rFonts w:hint="eastAsia" w:ascii="宋体" w:hAnsi="宋体" w:eastAsia="宋体" w:cs="宋体"/>
          <w:color w:val="auto"/>
          <w:highlight w:val="none"/>
        </w:rPr>
      </w:pPr>
    </w:p>
    <w:p w14:paraId="01000B4B">
      <w:pPr>
        <w:wordWrap w:val="0"/>
        <w:spacing w:line="360" w:lineRule="auto"/>
        <w:rPr>
          <w:rFonts w:hint="eastAsia" w:ascii="宋体" w:hAnsi="宋体" w:eastAsia="宋体" w:cs="宋体"/>
          <w:color w:val="auto"/>
          <w:sz w:val="32"/>
          <w:highlight w:val="none"/>
        </w:rPr>
      </w:pPr>
    </w:p>
    <w:p w14:paraId="3D3AE6C4">
      <w:pPr>
        <w:wordWrap w:val="0"/>
        <w:spacing w:line="360" w:lineRule="auto"/>
        <w:rPr>
          <w:rFonts w:hint="eastAsia" w:ascii="宋体" w:hAnsi="宋体" w:eastAsia="宋体" w:cs="宋体"/>
          <w:color w:val="auto"/>
          <w:sz w:val="32"/>
          <w:highlight w:val="none"/>
        </w:rPr>
      </w:pPr>
    </w:p>
    <w:p w14:paraId="60B4B829">
      <w:pPr>
        <w:wordWrap w:val="0"/>
        <w:spacing w:line="360" w:lineRule="auto"/>
        <w:rPr>
          <w:rFonts w:hint="eastAsia" w:ascii="宋体" w:hAnsi="宋体" w:eastAsia="宋体" w:cs="宋体"/>
          <w:color w:val="auto"/>
          <w:sz w:val="32"/>
          <w:highlight w:val="none"/>
        </w:rPr>
      </w:pPr>
    </w:p>
    <w:p w14:paraId="4625EF85">
      <w:pPr>
        <w:wordWrap w:val="0"/>
        <w:spacing w:line="360" w:lineRule="auto"/>
        <w:rPr>
          <w:rFonts w:hint="eastAsia" w:ascii="宋体" w:hAnsi="宋体" w:eastAsia="宋体" w:cs="宋体"/>
          <w:color w:val="auto"/>
          <w:sz w:val="32"/>
          <w:highlight w:val="none"/>
        </w:rPr>
      </w:pPr>
    </w:p>
    <w:p w14:paraId="5DC56189">
      <w:pPr>
        <w:wordWrap w:val="0"/>
        <w:spacing w:line="360" w:lineRule="auto"/>
        <w:rPr>
          <w:rFonts w:hint="eastAsia" w:ascii="宋体" w:hAnsi="宋体" w:eastAsia="宋体" w:cs="宋体"/>
          <w:color w:val="auto"/>
          <w:sz w:val="32"/>
          <w:highlight w:val="none"/>
        </w:rPr>
      </w:pPr>
    </w:p>
    <w:p w14:paraId="303E6F5D">
      <w:pPr>
        <w:wordWrap w:val="0"/>
        <w:spacing w:line="360" w:lineRule="auto"/>
        <w:rPr>
          <w:rFonts w:hint="eastAsia" w:ascii="宋体" w:hAnsi="宋体" w:eastAsia="宋体" w:cs="宋体"/>
          <w:color w:val="auto"/>
          <w:sz w:val="32"/>
          <w:highlight w:val="none"/>
        </w:rPr>
      </w:pPr>
    </w:p>
    <w:p w14:paraId="6CC1D9C8">
      <w:pPr>
        <w:wordWrap w:val="0"/>
        <w:spacing w:line="360" w:lineRule="auto"/>
        <w:rPr>
          <w:rFonts w:hint="eastAsia" w:ascii="宋体" w:hAnsi="宋体" w:eastAsia="宋体" w:cs="宋体"/>
          <w:color w:val="auto"/>
          <w:sz w:val="32"/>
          <w:highlight w:val="none"/>
        </w:rPr>
      </w:pPr>
      <w:r>
        <w:rPr>
          <w:rFonts w:hint="eastAsia" w:ascii="宋体" w:hAnsi="宋体" w:eastAsia="宋体" w:cs="宋体"/>
          <w:color w:val="auto"/>
          <w:sz w:val="32"/>
          <w:highlight w:val="none"/>
        </w:rPr>
        <w:t>3.3供应商参与采购活动投标资格声明函</w:t>
      </w:r>
    </w:p>
    <w:p w14:paraId="6F830217">
      <w:pPr>
        <w:wordWrap w:val="0"/>
        <w:snapToGrid w:val="0"/>
        <w:spacing w:line="360" w:lineRule="auto"/>
        <w:jc w:val="center"/>
        <w:rPr>
          <w:rFonts w:hint="eastAsia" w:ascii="宋体" w:hAnsi="宋体" w:eastAsia="宋体" w:cs="宋体"/>
          <w:b/>
          <w:color w:val="auto"/>
          <w:sz w:val="32"/>
          <w:highlight w:val="none"/>
        </w:rPr>
      </w:pPr>
      <w:r>
        <w:rPr>
          <w:rFonts w:hint="eastAsia" w:ascii="宋体" w:hAnsi="宋体" w:eastAsia="宋体" w:cs="宋体"/>
          <w:b/>
          <w:color w:val="auto"/>
          <w:sz w:val="32"/>
          <w:highlight w:val="none"/>
        </w:rPr>
        <w:t>供应商参与采购活动投标资格声明函</w:t>
      </w:r>
    </w:p>
    <w:tbl>
      <w:tblPr>
        <w:tblStyle w:val="28"/>
        <w:tblW w:w="0" w:type="auto"/>
        <w:tblInd w:w="108" w:type="dxa"/>
        <w:tblLayout w:type="fixed"/>
        <w:tblCellMar>
          <w:top w:w="0" w:type="dxa"/>
          <w:left w:w="0" w:type="dxa"/>
          <w:bottom w:w="0" w:type="dxa"/>
          <w:right w:w="0" w:type="dxa"/>
        </w:tblCellMar>
      </w:tblPr>
      <w:tblGrid>
        <w:gridCol w:w="1620"/>
        <w:gridCol w:w="7992"/>
      </w:tblGrid>
      <w:tr w14:paraId="612C4654">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2C1F5458">
            <w:pPr>
              <w:wordWrap w:val="0"/>
              <w:snapToGrid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项目名称</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15B42B9E">
            <w:pPr>
              <w:wordWrap w:val="0"/>
              <w:snapToGrid w:val="0"/>
              <w:spacing w:line="360" w:lineRule="auto"/>
              <w:ind w:left="422" w:firstLine="331"/>
              <w:rPr>
                <w:rFonts w:hint="eastAsia" w:ascii="宋体" w:hAnsi="宋体" w:eastAsia="宋体" w:cs="宋体"/>
                <w:color w:val="auto"/>
                <w:sz w:val="22"/>
                <w:highlight w:val="none"/>
              </w:rPr>
            </w:pPr>
          </w:p>
        </w:tc>
      </w:tr>
      <w:tr w14:paraId="085CF8A1">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040FBA64">
            <w:pPr>
              <w:wordWrap w:val="0"/>
              <w:snapToGrid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项目采购编号</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A792922">
            <w:pPr>
              <w:wordWrap w:val="0"/>
              <w:snapToGrid w:val="0"/>
              <w:spacing w:line="360" w:lineRule="auto"/>
              <w:ind w:left="422" w:firstLine="361"/>
              <w:rPr>
                <w:rFonts w:hint="eastAsia" w:ascii="宋体" w:hAnsi="宋体" w:eastAsia="宋体" w:cs="宋体"/>
                <w:color w:val="auto"/>
                <w:sz w:val="22"/>
                <w:highlight w:val="none"/>
              </w:rPr>
            </w:pPr>
          </w:p>
        </w:tc>
      </w:tr>
      <w:tr w14:paraId="0A9EB1DC">
        <w:tblPrEx>
          <w:tblCellMar>
            <w:top w:w="0" w:type="dxa"/>
            <w:left w:w="0" w:type="dxa"/>
            <w:bottom w:w="0" w:type="dxa"/>
            <w:right w:w="0" w:type="dxa"/>
          </w:tblCellMar>
        </w:tblPrEx>
        <w:tc>
          <w:tcPr>
            <w:tcW w:w="162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89D7704">
            <w:pPr>
              <w:wordWrap w:val="0"/>
              <w:snapToGrid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时    间</w:t>
            </w:r>
          </w:p>
        </w:tc>
        <w:tc>
          <w:tcPr>
            <w:tcW w:w="799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4AE22994">
            <w:pPr>
              <w:wordWrap w:val="0"/>
              <w:snapToGrid w:val="0"/>
              <w:spacing w:line="360" w:lineRule="auto"/>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投标截止时间</w:t>
            </w:r>
            <w:r>
              <w:rPr>
                <w:rFonts w:hint="eastAsia" w:ascii="宋体" w:hAnsi="宋体" w:eastAsia="宋体" w:cs="宋体"/>
                <w:color w:val="auto"/>
                <w:sz w:val="22"/>
                <w:highlight w:val="none"/>
                <w:lang w:eastAsia="zh-CN"/>
              </w:rPr>
              <w:t>：</w:t>
            </w:r>
          </w:p>
        </w:tc>
      </w:tr>
      <w:tr w14:paraId="67CF8851">
        <w:tblPrEx>
          <w:tblCellMar>
            <w:top w:w="0" w:type="dxa"/>
            <w:left w:w="0" w:type="dxa"/>
            <w:bottom w:w="0" w:type="dxa"/>
            <w:right w:w="0" w:type="dxa"/>
          </w:tblCellMar>
        </w:tblPrEx>
        <w:trPr>
          <w:trHeight w:val="5376"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14:paraId="5E002E80">
            <w:pPr>
              <w:wordWrap w:val="0"/>
              <w:snapToGrid w:val="0"/>
              <w:spacing w:line="360" w:lineRule="auto"/>
              <w:ind w:firstLine="450"/>
              <w:jc w:val="left"/>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1、根据平阳县县属国有企业采购管理办法（试行）第十四条规定，我单位满足以下条件</w:t>
            </w:r>
            <w:r>
              <w:rPr>
                <w:rFonts w:hint="eastAsia" w:ascii="宋体" w:hAnsi="宋体" w:eastAsia="宋体" w:cs="宋体"/>
                <w:color w:val="auto"/>
                <w:sz w:val="22"/>
                <w:highlight w:val="none"/>
                <w:lang w:eastAsia="zh-CN"/>
              </w:rPr>
              <w:t>：</w:t>
            </w:r>
          </w:p>
          <w:p w14:paraId="20C1D9DC">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（一）具有独立承担民事责任的能力； </w:t>
            </w:r>
          </w:p>
          <w:p w14:paraId="19B299BF">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（二）具有良好的商业信誉和健全的财务会计制度； </w:t>
            </w:r>
          </w:p>
          <w:p w14:paraId="1FE8971D">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（三）具有履行合同所必需的设备和专业技术能力； </w:t>
            </w:r>
          </w:p>
          <w:p w14:paraId="1B4836BF">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（四）有依法缴纳税收和社会保障资金的良好记录； </w:t>
            </w:r>
          </w:p>
          <w:p w14:paraId="7DFE141A">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（五）参加政府采购活动前三年内，在经营活动中没有重大违法记录； </w:t>
            </w:r>
          </w:p>
          <w:p w14:paraId="55DCBDCD">
            <w:pPr>
              <w:wordWrap w:val="0"/>
              <w:snapToGrid w:val="0"/>
              <w:spacing w:line="360" w:lineRule="auto"/>
              <w:jc w:val="left"/>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（六）法律、行政法规规定的其他条件。 </w:t>
            </w:r>
          </w:p>
          <w:p w14:paraId="196CC8BB">
            <w:pPr>
              <w:wordWrap w:val="0"/>
              <w:snapToGrid w:val="0"/>
              <w:spacing w:line="360" w:lineRule="auto"/>
              <w:ind w:firstLine="450"/>
              <w:rPr>
                <w:rFonts w:hint="eastAsia" w:ascii="宋体" w:hAnsi="宋体" w:eastAsia="宋体" w:cs="宋体"/>
                <w:b/>
                <w:color w:val="auto"/>
                <w:sz w:val="22"/>
                <w:highlight w:val="none"/>
              </w:rPr>
            </w:pPr>
            <w:r>
              <w:rPr>
                <w:rFonts w:hint="eastAsia" w:ascii="宋体" w:hAnsi="宋体" w:eastAsia="宋体" w:cs="宋体"/>
                <w:color w:val="auto"/>
                <w:sz w:val="22"/>
                <w:highlight w:val="none"/>
              </w:rPr>
              <w:t>2、根据财政部与有关部门联合签署了《关于对重大税收违法案件当事人实施联合惩戒措施的合作备忘录》(发改财金〔2014〕3062号)、《失信企业协同监管和联合惩戒合作备忘录》(发改财金〔2015〕2045号)、《关于对违法失信上市公司相关责任主体实施联合惩戒的合作备忘录》(发改财金〔2015〕3062号)、《关于对失信被执行人实施联合惩戒的合作备忘录》(发改财金〔2016〕141号)、《关于对安全生产领域失信生产经营单位及其有关人员开展联合惩戒的合作备忘录》(发改财金〔2016〕1001号)，依法限制相关失信主体参与政府采购活动。</w:t>
            </w:r>
            <w:r>
              <w:rPr>
                <w:rFonts w:hint="eastAsia" w:ascii="宋体" w:hAnsi="宋体" w:eastAsia="宋体" w:cs="宋体"/>
                <w:b/>
                <w:color w:val="auto"/>
                <w:sz w:val="22"/>
                <w:highlight w:val="none"/>
              </w:rPr>
              <w:t>我单位承诺不存在上述文件规定依法限制参与政府采购的情况。</w:t>
            </w:r>
          </w:p>
          <w:p w14:paraId="2838B5A2">
            <w:pPr>
              <w:wordWrap w:val="0"/>
              <w:snapToGrid w:val="0"/>
              <w:spacing w:line="360" w:lineRule="auto"/>
              <w:ind w:firstLine="450"/>
              <w:rPr>
                <w:rFonts w:hint="eastAsia" w:ascii="宋体" w:hAnsi="宋体" w:eastAsia="宋体" w:cs="宋体"/>
                <w:color w:val="auto"/>
                <w:sz w:val="22"/>
                <w:highlight w:val="none"/>
              </w:rPr>
            </w:pPr>
            <w:r>
              <w:rPr>
                <w:rFonts w:hint="eastAsia" w:ascii="宋体" w:hAnsi="宋体" w:eastAsia="宋体" w:cs="宋体"/>
                <w:color w:val="auto"/>
                <w:sz w:val="22"/>
                <w:highlight w:val="none"/>
              </w:rPr>
              <w:t>3、我单位承诺没有被各地、各级财政部门限制参加政府采购活动。</w:t>
            </w:r>
          </w:p>
          <w:p w14:paraId="2AB3BAB7">
            <w:pPr>
              <w:tabs>
                <w:tab w:val="center" w:pos="4483"/>
              </w:tabs>
              <w:wordWrap w:val="0"/>
              <w:snapToGrid w:val="0"/>
              <w:spacing w:line="360" w:lineRule="auto"/>
              <w:ind w:firstLine="400"/>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4、我单位承诺参与本项目政府采购活动3年内没有其它重大违法记录（重大违法记录，是指供应商因违法经营受到刑事处罚或者责令停产停业、吊销许可证或者执照、较大数额罚款等行政处罚）。</w:t>
            </w:r>
          </w:p>
          <w:p w14:paraId="4EDFE321">
            <w:pPr>
              <w:tabs>
                <w:tab w:val="center" w:pos="4483"/>
              </w:tabs>
              <w:wordWrap w:val="0"/>
              <w:snapToGrid w:val="0"/>
              <w:spacing w:line="360" w:lineRule="auto"/>
              <w:ind w:firstLine="440"/>
              <w:rPr>
                <w:rFonts w:hint="eastAsia" w:ascii="宋体" w:hAnsi="宋体" w:eastAsia="宋体" w:cs="宋体"/>
                <w:color w:val="auto"/>
                <w:sz w:val="22"/>
                <w:highlight w:val="none"/>
              </w:rPr>
            </w:pPr>
            <w:r>
              <w:rPr>
                <w:rFonts w:hint="eastAsia" w:ascii="宋体" w:hAnsi="宋体" w:eastAsia="宋体" w:cs="宋体"/>
                <w:color w:val="auto"/>
                <w:sz w:val="22"/>
                <w:highlight w:val="none"/>
                <w:u w:val="single"/>
              </w:rPr>
              <w:t>本公司所提交的本声明和陈述均是真实的、准确的。若与真实情况不符，本公司愿意承担由此而产生的一切后果。我方提供了全部能提供的资料和数据，我们同意遵照贵方要求出示有关证明文件。</w:t>
            </w:r>
          </w:p>
        </w:tc>
      </w:tr>
      <w:tr w14:paraId="4DC0EC0D">
        <w:tblPrEx>
          <w:tblCellMar>
            <w:top w:w="0" w:type="dxa"/>
            <w:left w:w="0" w:type="dxa"/>
            <w:bottom w:w="0" w:type="dxa"/>
            <w:right w:w="0" w:type="dxa"/>
          </w:tblCellMar>
        </w:tblPrEx>
        <w:trPr>
          <w:trHeight w:val="341"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CE12DAF">
            <w:pPr>
              <w:wordWrap w:val="0"/>
              <w:snapToGrid w:val="0"/>
              <w:spacing w:line="360" w:lineRule="auto"/>
              <w:ind w:left="422" w:firstLine="331"/>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供应商名称（加盖盖章）</w:t>
            </w:r>
            <w:r>
              <w:rPr>
                <w:rFonts w:hint="eastAsia" w:ascii="宋体" w:hAnsi="宋体" w:eastAsia="宋体" w:cs="宋体"/>
                <w:color w:val="auto"/>
                <w:sz w:val="22"/>
                <w:highlight w:val="none"/>
                <w:lang w:eastAsia="zh-CN"/>
              </w:rPr>
              <w:t>：</w:t>
            </w:r>
          </w:p>
        </w:tc>
      </w:tr>
      <w:tr w14:paraId="24BC8F7D">
        <w:tblPrEx>
          <w:tblCellMar>
            <w:top w:w="0" w:type="dxa"/>
            <w:left w:w="0" w:type="dxa"/>
            <w:bottom w:w="0" w:type="dxa"/>
            <w:right w:w="0" w:type="dxa"/>
          </w:tblCellMar>
        </w:tblPrEx>
        <w:trPr>
          <w:trHeight w:val="219"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8CF4CD">
            <w:pPr>
              <w:wordWrap w:val="0"/>
              <w:snapToGrid w:val="0"/>
              <w:spacing w:line="360" w:lineRule="auto"/>
              <w:ind w:left="422" w:firstLine="316"/>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法定代表人或授权代表（签字或盖章）</w:t>
            </w:r>
            <w:r>
              <w:rPr>
                <w:rFonts w:hint="eastAsia" w:ascii="宋体" w:hAnsi="宋体" w:eastAsia="宋体" w:cs="宋体"/>
                <w:color w:val="auto"/>
                <w:sz w:val="22"/>
                <w:highlight w:val="none"/>
                <w:lang w:eastAsia="zh-CN"/>
              </w:rPr>
              <w:t>：</w:t>
            </w:r>
          </w:p>
        </w:tc>
      </w:tr>
      <w:tr w14:paraId="2483F5C7">
        <w:tblPrEx>
          <w:tblCellMar>
            <w:top w:w="0" w:type="dxa"/>
            <w:left w:w="0" w:type="dxa"/>
            <w:bottom w:w="0" w:type="dxa"/>
            <w:right w:w="0" w:type="dxa"/>
          </w:tblCellMar>
        </w:tblPrEx>
        <w:trPr>
          <w:trHeight w:val="97" w:hRule="atLeast"/>
        </w:trPr>
        <w:tc>
          <w:tcPr>
            <w:tcW w:w="9612" w:type="dxa"/>
            <w:gridSpan w:val="2"/>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17579B">
            <w:pPr>
              <w:wordWrap w:val="0"/>
              <w:snapToGrid w:val="0"/>
              <w:spacing w:line="360" w:lineRule="auto"/>
              <w:ind w:left="422" w:firstLine="331"/>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签署日期</w:t>
            </w:r>
            <w:r>
              <w:rPr>
                <w:rFonts w:hint="eastAsia" w:ascii="宋体" w:hAnsi="宋体" w:eastAsia="宋体" w:cs="宋体"/>
                <w:color w:val="auto"/>
                <w:sz w:val="22"/>
                <w:highlight w:val="none"/>
                <w:lang w:eastAsia="zh-CN"/>
              </w:rPr>
              <w:t>：</w:t>
            </w:r>
          </w:p>
        </w:tc>
      </w:tr>
    </w:tbl>
    <w:p w14:paraId="752A9336">
      <w:pPr>
        <w:wordWrap w:val="0"/>
        <w:spacing w:line="360" w:lineRule="auto"/>
        <w:rPr>
          <w:rFonts w:hint="eastAsia" w:ascii="宋体" w:hAnsi="宋体" w:eastAsia="宋体" w:cs="宋体"/>
          <w:color w:val="auto"/>
          <w:sz w:val="36"/>
          <w:highlight w:val="none"/>
        </w:rPr>
      </w:pPr>
    </w:p>
    <w:p w14:paraId="622AEE10">
      <w:pPr>
        <w:pStyle w:val="14"/>
        <w:wordWrap w:val="0"/>
        <w:adjustRightInd w:val="0"/>
        <w:snapToGrid w:val="0"/>
        <w:spacing w:line="360" w:lineRule="auto"/>
        <w:rPr>
          <w:rFonts w:hint="eastAsia" w:ascii="宋体" w:hAnsi="宋体" w:eastAsia="宋体" w:cs="宋体"/>
          <w:color w:val="auto"/>
          <w:sz w:val="36"/>
          <w:highlight w:val="none"/>
        </w:rPr>
      </w:pPr>
      <w:r>
        <w:rPr>
          <w:rFonts w:hint="eastAsia" w:ascii="宋体" w:hAnsi="宋体" w:eastAsia="宋体" w:cs="宋体"/>
          <w:color w:val="auto"/>
          <w:kern w:val="0"/>
          <w:sz w:val="32"/>
          <w:szCs w:val="24"/>
          <w:highlight w:val="none"/>
        </w:rPr>
        <w:t>3.4投标函</w:t>
      </w:r>
      <w:r>
        <w:rPr>
          <w:rFonts w:hint="eastAsia" w:ascii="宋体" w:hAnsi="宋体" w:eastAsia="宋体" w:cs="宋体"/>
          <w:color w:val="auto"/>
          <w:kern w:val="0"/>
          <w:sz w:val="32"/>
          <w:szCs w:val="24"/>
          <w:highlight w:val="none"/>
        </w:rPr>
        <w:cr/>
      </w:r>
      <w:r>
        <w:rPr>
          <w:rFonts w:hint="eastAsia" w:ascii="宋体" w:hAnsi="宋体" w:eastAsia="宋体" w:cs="宋体"/>
          <w:color w:val="auto"/>
          <w:sz w:val="32"/>
          <w:highlight w:val="none"/>
        </w:rPr>
        <w:t xml:space="preserve">                      </w:t>
      </w:r>
      <w:r>
        <w:rPr>
          <w:rFonts w:hint="eastAsia" w:ascii="宋体" w:hAnsi="宋体" w:eastAsia="宋体" w:cs="宋体"/>
          <w:b/>
          <w:bCs/>
          <w:color w:val="auto"/>
          <w:sz w:val="32"/>
          <w:highlight w:val="none"/>
        </w:rPr>
        <w:t xml:space="preserve">   </w:t>
      </w:r>
      <w:r>
        <w:rPr>
          <w:rFonts w:hint="eastAsia" w:ascii="宋体" w:hAnsi="宋体" w:eastAsia="宋体" w:cs="宋体"/>
          <w:b/>
          <w:bCs/>
          <w:color w:val="auto"/>
          <w:sz w:val="36"/>
          <w:highlight w:val="none"/>
        </w:rPr>
        <w:t>投  标  函</w:t>
      </w:r>
    </w:p>
    <w:p w14:paraId="1643D031">
      <w:pPr>
        <w:pStyle w:val="14"/>
        <w:wordWrap w:val="0"/>
        <w:adjustRightInd w:val="0"/>
        <w:snapToGrid w:val="0"/>
        <w:spacing w:line="360" w:lineRule="auto"/>
        <w:ind w:firstLine="450"/>
        <w:rPr>
          <w:rFonts w:hint="eastAsia" w:ascii="宋体" w:hAnsi="宋体" w:eastAsia="宋体" w:cs="宋体"/>
          <w:color w:val="auto"/>
          <w:sz w:val="22"/>
          <w:szCs w:val="22"/>
          <w:highlight w:val="none"/>
          <w:u w:val="single"/>
          <w:lang w:eastAsia="zh-CN"/>
        </w:rPr>
      </w:pPr>
      <w:r>
        <w:rPr>
          <w:rFonts w:hint="eastAsia" w:ascii="宋体" w:hAnsi="宋体" w:eastAsia="宋体" w:cs="宋体"/>
          <w:color w:val="auto"/>
          <w:sz w:val="22"/>
          <w:szCs w:val="22"/>
          <w:highlight w:val="none"/>
          <w:u w:val="single"/>
          <w:lang w:eastAsia="zh-CN"/>
        </w:rPr>
        <w:t>平阳县青澜酒店管理有限公司：</w:t>
      </w:r>
    </w:p>
    <w:p w14:paraId="450A99F3">
      <w:pPr>
        <w:pStyle w:val="14"/>
        <w:wordWrap w:val="0"/>
        <w:adjustRightInd w:val="0"/>
        <w:snapToGrid w:val="0"/>
        <w:spacing w:line="360" w:lineRule="auto"/>
        <w:ind w:firstLine="450"/>
        <w:rPr>
          <w:rFonts w:hint="eastAsia" w:ascii="宋体" w:hAnsi="宋体" w:eastAsia="宋体" w:cs="宋体"/>
          <w:color w:val="auto"/>
          <w:sz w:val="22"/>
          <w:szCs w:val="22"/>
          <w:highlight w:val="none"/>
        </w:rPr>
      </w:pPr>
    </w:p>
    <w:p w14:paraId="51662712">
      <w:pPr>
        <w:wordWrap w:val="0"/>
        <w:autoSpaceDE w:val="0"/>
        <w:autoSpaceDN w:val="0"/>
        <w:adjustRightInd w:val="0"/>
        <w:snapToGrid w:val="0"/>
        <w:spacing w:line="360" w:lineRule="auto"/>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rPr>
        <w:t xml:space="preserve">     </w:t>
      </w:r>
      <w:r>
        <w:rPr>
          <w:rFonts w:hint="eastAsia" w:ascii="宋体" w:hAnsi="宋体" w:eastAsia="宋体" w:cs="宋体"/>
          <w:color w:val="auto"/>
          <w:sz w:val="22"/>
          <w:szCs w:val="22"/>
          <w:highlight w:val="none"/>
          <w:lang w:val="zh-CN"/>
        </w:rPr>
        <w:t xml:space="preserve"> </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（供应商全称）授权</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 xml:space="preserve"> （授权代表名称）</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（职务、职称）为授权代表，参加贵方组织的</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（招标项目名称）（括号内填投标编号）招标的有关活动，为此：并对</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 xml:space="preserve">项目（采购项目名称）进行投标。   </w:t>
      </w:r>
    </w:p>
    <w:p w14:paraId="450FAB25">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1、提供供应商须知规定的全部投标文件。</w:t>
      </w:r>
    </w:p>
    <w:p w14:paraId="1E72275A">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2、保证遵守采购文件中的有关规定和收费标准。</w:t>
      </w:r>
    </w:p>
    <w:p w14:paraId="03A76645">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3、保证忠实地执行采购人、中标供应商双方所签的合同， 并承担合同规定的责任义务。</w:t>
      </w:r>
    </w:p>
    <w:p w14:paraId="73E55AAA">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4、我方承诺在合同生效后</w:t>
      </w:r>
      <w:r>
        <w:rPr>
          <w:rFonts w:hint="eastAsia" w:ascii="宋体" w:hAnsi="宋体" w:eastAsia="宋体" w:cs="宋体"/>
          <w:b/>
          <w:color w:val="auto"/>
          <w:sz w:val="22"/>
          <w:szCs w:val="22"/>
          <w:highlight w:val="none"/>
          <w:u w:val="single"/>
          <w:lang w:val="zh-CN"/>
        </w:rPr>
        <w:t>按采购文件要求完成本项目</w:t>
      </w:r>
      <w:r>
        <w:rPr>
          <w:rFonts w:hint="eastAsia" w:ascii="宋体" w:hAnsi="宋体" w:eastAsia="宋体" w:cs="宋体"/>
          <w:color w:val="auto"/>
          <w:sz w:val="22"/>
          <w:szCs w:val="22"/>
          <w:highlight w:val="none"/>
          <w:lang w:val="zh-CN"/>
        </w:rPr>
        <w:t>。</w:t>
      </w:r>
    </w:p>
    <w:p w14:paraId="60B3A7C5">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5、供应商已详细审查全部采购文件，包括采购文件补充文件（如果有的话）。我方完全理解并同意放弃对这方面有不明及误解的权力。如果采购文件有相互矛盾之处，我方同意按采购人的理解处理。</w:t>
      </w:r>
    </w:p>
    <w:p w14:paraId="6D7631DA">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6、利益冲突：近三年内直至目前，我公司与本项目的采购人、采购机构没有任何的利害关系。</w:t>
      </w:r>
    </w:p>
    <w:p w14:paraId="5ED3D04F">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7、我公司近三年内没有行贿受贿记录；我公司符合</w:t>
      </w:r>
      <w:r>
        <w:rPr>
          <w:rFonts w:hint="eastAsia" w:ascii="宋体" w:hAnsi="宋体" w:eastAsia="宋体" w:cs="宋体"/>
          <w:color w:val="auto"/>
          <w:sz w:val="22"/>
          <w:szCs w:val="22"/>
          <w:highlight w:val="none"/>
        </w:rPr>
        <w:t>《平阳县县属国有企业采购管理办法（试行）》第十四条对供应商的资格要求；</w:t>
      </w:r>
      <w:r>
        <w:rPr>
          <w:rFonts w:hint="eastAsia" w:ascii="宋体" w:hAnsi="宋体" w:eastAsia="宋体" w:cs="宋体"/>
          <w:color w:val="auto"/>
          <w:sz w:val="22"/>
          <w:szCs w:val="22"/>
          <w:highlight w:val="none"/>
          <w:lang w:val="zh-CN"/>
        </w:rPr>
        <w:t>我公司没有被政府采购管理部门限制参加投标。</w:t>
      </w:r>
    </w:p>
    <w:p w14:paraId="5AC308DD">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8、愿意向贵方提供任何与该项投标有关的数据、情况和技术资料，完全理解贵方不一定接受最低价的投标或收到的任何投标。</w:t>
      </w:r>
    </w:p>
    <w:p w14:paraId="5C71BC00">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9、本投标自开标之日起90天内有效。</w:t>
      </w:r>
    </w:p>
    <w:p w14:paraId="0B1C8CFE">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10、与本投标有关的一切往来通讯请寄：</w:t>
      </w:r>
    </w:p>
    <w:p w14:paraId="15E1DA9A">
      <w:pPr>
        <w:wordWrap w:val="0"/>
        <w:autoSpaceDE w:val="0"/>
        <w:autoSpaceDN w:val="0"/>
        <w:adjustRightInd w:val="0"/>
        <w:snapToGrid w:val="0"/>
        <w:spacing w:line="360" w:lineRule="auto"/>
        <w:ind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地址：</w:t>
      </w:r>
      <w:r>
        <w:rPr>
          <w:rFonts w:hint="eastAsia" w:ascii="宋体" w:hAnsi="宋体" w:eastAsia="宋体" w:cs="宋体"/>
          <w:color w:val="auto"/>
          <w:sz w:val="22"/>
          <w:szCs w:val="22"/>
          <w:highlight w:val="none"/>
          <w:u w:val="single"/>
          <w:lang w:val="zh-CN"/>
        </w:rPr>
        <w:t xml:space="preserve">                                 </w:t>
      </w:r>
    </w:p>
    <w:p w14:paraId="486E5AB8">
      <w:pPr>
        <w:wordWrap w:val="0"/>
        <w:autoSpaceDE w:val="0"/>
        <w:autoSpaceDN w:val="0"/>
        <w:adjustRightInd w:val="0"/>
        <w:snapToGrid w:val="0"/>
        <w:spacing w:line="360" w:lineRule="auto"/>
        <w:ind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邮编：</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电话：</w:t>
      </w:r>
      <w:r>
        <w:rPr>
          <w:rFonts w:hint="eastAsia" w:ascii="宋体" w:hAnsi="宋体" w:eastAsia="宋体" w:cs="宋体"/>
          <w:color w:val="auto"/>
          <w:sz w:val="22"/>
          <w:szCs w:val="22"/>
          <w:highlight w:val="none"/>
          <w:u w:val="single"/>
          <w:lang w:val="zh-CN"/>
        </w:rPr>
        <w:t xml:space="preserve">                 </w:t>
      </w:r>
      <w:r>
        <w:rPr>
          <w:rFonts w:hint="eastAsia" w:ascii="宋体" w:hAnsi="宋体" w:eastAsia="宋体" w:cs="宋体"/>
          <w:color w:val="auto"/>
          <w:sz w:val="22"/>
          <w:szCs w:val="22"/>
          <w:highlight w:val="none"/>
          <w:lang w:val="zh-CN"/>
        </w:rPr>
        <w:t>传真：</w:t>
      </w:r>
      <w:r>
        <w:rPr>
          <w:rFonts w:hint="eastAsia" w:ascii="宋体" w:hAnsi="宋体" w:eastAsia="宋体" w:cs="宋体"/>
          <w:color w:val="auto"/>
          <w:sz w:val="22"/>
          <w:szCs w:val="22"/>
          <w:highlight w:val="none"/>
          <w:u w:val="single"/>
          <w:lang w:val="zh-CN"/>
        </w:rPr>
        <w:t xml:space="preserve">                 </w:t>
      </w:r>
    </w:p>
    <w:p w14:paraId="3DFD1503">
      <w:pPr>
        <w:wordWrap w:val="0"/>
        <w:autoSpaceDE w:val="0"/>
        <w:autoSpaceDN w:val="0"/>
        <w:adjustRightInd w:val="0"/>
        <w:snapToGrid w:val="0"/>
        <w:spacing w:line="360" w:lineRule="auto"/>
        <w:ind w:firstLine="26" w:firstLineChars="12"/>
        <w:rPr>
          <w:rFonts w:hint="eastAsia" w:ascii="宋体" w:hAnsi="宋体" w:eastAsia="宋体" w:cs="宋体"/>
          <w:color w:val="auto"/>
          <w:sz w:val="22"/>
          <w:szCs w:val="22"/>
          <w:highlight w:val="none"/>
          <w:lang w:val="zh-CN"/>
        </w:rPr>
      </w:pPr>
    </w:p>
    <w:p w14:paraId="16020585">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供应商全称（盖章）：</w:t>
      </w:r>
    </w:p>
    <w:p w14:paraId="4DE60E2E">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法定代表人（负责人）或授权代表（签字或签章）：</w:t>
      </w:r>
    </w:p>
    <w:p w14:paraId="6A2A406F">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r>
        <w:rPr>
          <w:rFonts w:hint="eastAsia" w:ascii="宋体" w:hAnsi="宋体" w:eastAsia="宋体" w:cs="宋体"/>
          <w:color w:val="auto"/>
          <w:sz w:val="22"/>
          <w:szCs w:val="22"/>
          <w:highlight w:val="none"/>
          <w:lang w:val="zh-CN"/>
        </w:rPr>
        <w:t>日期：</w:t>
      </w:r>
    </w:p>
    <w:p w14:paraId="6D772BAB">
      <w:pPr>
        <w:wordWrap w:val="0"/>
        <w:autoSpaceDE w:val="0"/>
        <w:autoSpaceDN w:val="0"/>
        <w:adjustRightInd w:val="0"/>
        <w:snapToGrid w:val="0"/>
        <w:spacing w:line="360" w:lineRule="auto"/>
        <w:ind w:left="1" w:firstLine="585" w:firstLineChars="266"/>
        <w:rPr>
          <w:rFonts w:hint="eastAsia" w:ascii="宋体" w:hAnsi="宋体" w:eastAsia="宋体" w:cs="宋体"/>
          <w:color w:val="auto"/>
          <w:sz w:val="22"/>
          <w:szCs w:val="22"/>
          <w:highlight w:val="none"/>
          <w:lang w:val="zh-CN"/>
        </w:rPr>
      </w:pPr>
    </w:p>
    <w:p w14:paraId="633C3900">
      <w:pPr>
        <w:wordWrap w:val="0"/>
        <w:autoSpaceDE w:val="0"/>
        <w:autoSpaceDN w:val="0"/>
        <w:adjustRightInd w:val="0"/>
        <w:snapToGrid w:val="0"/>
        <w:spacing w:line="360" w:lineRule="auto"/>
        <w:ind w:firstLine="601" w:firstLineChars="285"/>
        <w:rPr>
          <w:rFonts w:hint="eastAsia" w:ascii="宋体" w:hAnsi="宋体" w:eastAsia="宋体" w:cs="宋体"/>
          <w:b/>
          <w:color w:val="auto"/>
          <w:sz w:val="22"/>
          <w:szCs w:val="22"/>
          <w:highlight w:val="none"/>
          <w:u w:val="single"/>
          <w:lang w:val="zh-CN"/>
        </w:rPr>
      </w:pPr>
      <w:r>
        <w:rPr>
          <w:rFonts w:hint="eastAsia" w:ascii="宋体" w:hAnsi="宋体" w:eastAsia="宋体" w:cs="宋体"/>
          <w:b/>
          <w:color w:val="auto"/>
          <w:highlight w:val="none"/>
          <w:u w:val="single"/>
        </w:rPr>
        <w:t>不提供本函做无效投标处理。</w:t>
      </w:r>
    </w:p>
    <w:p w14:paraId="539D3B54">
      <w:pPr>
        <w:pStyle w:val="14"/>
        <w:wordWrap w:val="0"/>
        <w:spacing w:line="360" w:lineRule="auto"/>
        <w:rPr>
          <w:rFonts w:hint="eastAsia" w:ascii="宋体" w:hAnsi="宋体" w:eastAsia="宋体" w:cs="宋体"/>
          <w:b/>
          <w:color w:val="auto"/>
          <w:sz w:val="32"/>
          <w:szCs w:val="32"/>
          <w:highlight w:val="none"/>
        </w:rPr>
      </w:pPr>
    </w:p>
    <w:p w14:paraId="0ABC9DB3">
      <w:pPr>
        <w:pStyle w:val="14"/>
        <w:wordWrap w:val="0"/>
        <w:adjustRightInd w:val="0"/>
        <w:snapToGrid w:val="0"/>
        <w:spacing w:line="360" w:lineRule="auto"/>
        <w:outlineLvl w:val="0"/>
        <w:rPr>
          <w:rFonts w:hint="eastAsia" w:ascii="宋体" w:hAnsi="宋体" w:eastAsia="宋体" w:cs="宋体"/>
          <w:color w:val="auto"/>
          <w:sz w:val="32"/>
          <w:highlight w:val="none"/>
        </w:rPr>
      </w:pPr>
      <w:r>
        <w:rPr>
          <w:rFonts w:hint="eastAsia" w:ascii="宋体" w:hAnsi="宋体" w:eastAsia="宋体" w:cs="宋体"/>
          <w:color w:val="auto"/>
          <w:kern w:val="0"/>
          <w:sz w:val="32"/>
          <w:szCs w:val="24"/>
          <w:highlight w:val="none"/>
        </w:rPr>
        <w:br w:type="page"/>
      </w:r>
      <w:bookmarkStart w:id="86" w:name="_Toc29299"/>
      <w:bookmarkStart w:id="87" w:name="_Toc4729"/>
      <w:bookmarkStart w:id="88" w:name="_Toc3313"/>
      <w:bookmarkStart w:id="89" w:name="_Toc16564"/>
      <w:bookmarkStart w:id="90" w:name="_Toc22951"/>
      <w:r>
        <w:rPr>
          <w:rFonts w:hint="eastAsia" w:ascii="宋体" w:hAnsi="宋体" w:eastAsia="宋体" w:cs="宋体"/>
          <w:color w:val="auto"/>
          <w:kern w:val="0"/>
          <w:sz w:val="32"/>
          <w:szCs w:val="24"/>
          <w:highlight w:val="none"/>
        </w:rPr>
        <w:t>3.</w:t>
      </w:r>
      <w:r>
        <w:rPr>
          <w:rFonts w:hint="eastAsia" w:ascii="宋体" w:hAnsi="宋体" w:eastAsia="宋体" w:cs="宋体"/>
          <w:color w:val="auto"/>
          <w:sz w:val="32"/>
          <w:highlight w:val="none"/>
        </w:rPr>
        <w:t>5投标供应商情况声明</w:t>
      </w:r>
      <w:bookmarkEnd w:id="86"/>
      <w:bookmarkEnd w:id="87"/>
      <w:bookmarkEnd w:id="88"/>
      <w:bookmarkEnd w:id="89"/>
      <w:bookmarkEnd w:id="90"/>
    </w:p>
    <w:p w14:paraId="4A3A3B3D">
      <w:pPr>
        <w:pStyle w:val="14"/>
        <w:wordWrap w:val="0"/>
        <w:adjustRightInd w:val="0"/>
        <w:snapToGrid w:val="0"/>
        <w:spacing w:line="360" w:lineRule="auto"/>
        <w:jc w:val="center"/>
        <w:outlineLvl w:val="0"/>
        <w:rPr>
          <w:rFonts w:hint="eastAsia" w:ascii="宋体" w:hAnsi="宋体" w:eastAsia="宋体" w:cs="宋体"/>
          <w:b/>
          <w:color w:val="auto"/>
          <w:sz w:val="36"/>
          <w:highlight w:val="none"/>
        </w:rPr>
      </w:pPr>
      <w:bookmarkStart w:id="91" w:name="_Toc31506"/>
      <w:bookmarkStart w:id="92" w:name="_Toc27935"/>
      <w:bookmarkStart w:id="93" w:name="_Toc28012"/>
      <w:bookmarkStart w:id="94" w:name="_Toc3166"/>
      <w:bookmarkStart w:id="95" w:name="_Toc9797"/>
      <w:r>
        <w:rPr>
          <w:rFonts w:hint="eastAsia" w:ascii="宋体" w:hAnsi="宋体" w:eastAsia="宋体" w:cs="宋体"/>
          <w:b/>
          <w:color w:val="auto"/>
          <w:sz w:val="36"/>
          <w:highlight w:val="none"/>
        </w:rPr>
        <w:t>投标供应商情况声明</w:t>
      </w:r>
      <w:bookmarkEnd w:id="91"/>
      <w:bookmarkEnd w:id="92"/>
      <w:bookmarkEnd w:id="93"/>
      <w:bookmarkEnd w:id="94"/>
      <w:bookmarkEnd w:id="95"/>
    </w:p>
    <w:p w14:paraId="337D63B9">
      <w:pPr>
        <w:wordWrap w:val="0"/>
        <w:spacing w:line="360" w:lineRule="auto"/>
        <w:outlineLvl w:val="0"/>
        <w:rPr>
          <w:rFonts w:hint="eastAsia" w:ascii="宋体" w:hAnsi="宋体" w:eastAsia="宋体" w:cs="宋体"/>
          <w:color w:val="auto"/>
          <w:sz w:val="22"/>
          <w:highlight w:val="none"/>
          <w:lang w:eastAsia="zh-CN"/>
        </w:rPr>
      </w:pPr>
      <w:bookmarkStart w:id="96" w:name="_Toc17869"/>
      <w:bookmarkStart w:id="97" w:name="_Toc16036"/>
      <w:bookmarkStart w:id="98" w:name="_Toc28814"/>
      <w:bookmarkStart w:id="99" w:name="_Toc10096"/>
      <w:bookmarkStart w:id="100" w:name="_Toc18572"/>
      <w:r>
        <w:rPr>
          <w:rFonts w:hint="eastAsia" w:ascii="宋体" w:hAnsi="宋体" w:eastAsia="宋体" w:cs="宋体"/>
          <w:color w:val="auto"/>
          <w:sz w:val="22"/>
          <w:highlight w:val="none"/>
        </w:rPr>
        <w:t>1. 名称及概况</w:t>
      </w:r>
      <w:bookmarkEnd w:id="96"/>
      <w:bookmarkEnd w:id="97"/>
      <w:bookmarkEnd w:id="98"/>
      <w:bookmarkEnd w:id="99"/>
      <w:r>
        <w:rPr>
          <w:rFonts w:hint="eastAsia" w:ascii="宋体" w:hAnsi="宋体" w:eastAsia="宋体" w:cs="宋体"/>
          <w:color w:val="auto"/>
          <w:sz w:val="22"/>
          <w:highlight w:val="none"/>
          <w:lang w:eastAsia="zh-CN"/>
        </w:rPr>
        <w:t>：</w:t>
      </w:r>
      <w:bookmarkEnd w:id="100"/>
    </w:p>
    <w:p w14:paraId="4BBC690A">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（1）供应商名称</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2E1DB307">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（2）总部地址</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60036828">
      <w:pPr>
        <w:wordWrap w:val="0"/>
        <w:spacing w:line="360" w:lineRule="auto"/>
        <w:ind w:firstLine="600"/>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传真/电话号码</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7D3A8D1F">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（3）温州设立长期驻点办公地址（如有）</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629500F3">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电话号码</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23099D82">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（4）成立或注册日期</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69DFFCC6">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（5）实收资本</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21AB1085">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（6）近期资产负债表（到</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年</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月</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日止）</w:t>
      </w:r>
    </w:p>
    <w:p w14:paraId="0CD5B8D5">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1）固定资产</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3F523C0B">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2）流动资产</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0B2E90E4">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3）长期负债</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128F93C1">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4）流动负债</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0D0368B2">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 xml:space="preserve">  5）净值</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438D0CA9">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（6）主要负责人姓名</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u w:val="single"/>
        </w:rPr>
        <w:t xml:space="preserve">                      </w:t>
      </w:r>
    </w:p>
    <w:p w14:paraId="05A98E84">
      <w:pPr>
        <w:wordWrap w:val="0"/>
        <w:spacing w:line="360" w:lineRule="auto"/>
        <w:ind w:left="660" w:hanging="660" w:hangingChars="300"/>
        <w:rPr>
          <w:rFonts w:hint="eastAsia" w:ascii="宋体" w:hAnsi="宋体" w:eastAsia="宋体" w:cs="宋体"/>
          <w:color w:val="auto"/>
          <w:sz w:val="22"/>
          <w:highlight w:val="none"/>
          <w:lang w:eastAsia="zh-CN"/>
        </w:rPr>
      </w:pPr>
      <w:r>
        <w:rPr>
          <w:rFonts w:hint="eastAsia" w:ascii="宋体" w:hAnsi="宋体" w:eastAsia="宋体" w:cs="宋体"/>
          <w:color w:val="auto"/>
          <w:sz w:val="22"/>
          <w:highlight w:val="none"/>
        </w:rPr>
        <w:t>2．企业生产设备及规模</w:t>
      </w:r>
      <w:r>
        <w:rPr>
          <w:rFonts w:hint="eastAsia" w:ascii="宋体" w:hAnsi="宋体" w:eastAsia="宋体" w:cs="宋体"/>
          <w:color w:val="auto"/>
          <w:sz w:val="22"/>
          <w:highlight w:val="none"/>
          <w:lang w:eastAsia="zh-CN"/>
        </w:rPr>
        <w:t>：</w:t>
      </w:r>
    </w:p>
    <w:p w14:paraId="443E2594">
      <w:pPr>
        <w:wordWrap w:val="0"/>
        <w:spacing w:line="360" w:lineRule="auto"/>
        <w:ind w:left="660" w:hanging="660" w:hangingChars="300"/>
        <w:outlineLvl w:val="0"/>
        <w:rPr>
          <w:rFonts w:hint="eastAsia" w:ascii="宋体" w:hAnsi="宋体" w:eastAsia="宋体" w:cs="宋体"/>
          <w:color w:val="auto"/>
          <w:sz w:val="22"/>
          <w:highlight w:val="none"/>
          <w:lang w:eastAsia="zh-CN"/>
        </w:rPr>
      </w:pPr>
      <w:bookmarkStart w:id="101" w:name="_Toc5309"/>
      <w:bookmarkStart w:id="102" w:name="_Toc11954"/>
      <w:bookmarkStart w:id="103" w:name="_Toc30295"/>
      <w:bookmarkStart w:id="104" w:name="_Toc3048"/>
      <w:bookmarkStart w:id="105" w:name="_Toc25690"/>
      <w:r>
        <w:rPr>
          <w:rFonts w:hint="eastAsia" w:ascii="宋体" w:hAnsi="宋体" w:eastAsia="宋体" w:cs="宋体"/>
          <w:color w:val="auto"/>
          <w:sz w:val="22"/>
          <w:highlight w:val="none"/>
        </w:rPr>
        <w:t>3. 企业人员情况</w:t>
      </w:r>
      <w:bookmarkEnd w:id="101"/>
      <w:bookmarkEnd w:id="102"/>
      <w:bookmarkEnd w:id="103"/>
      <w:bookmarkEnd w:id="104"/>
      <w:r>
        <w:rPr>
          <w:rFonts w:hint="eastAsia" w:ascii="宋体" w:hAnsi="宋体" w:eastAsia="宋体" w:cs="宋体"/>
          <w:color w:val="auto"/>
          <w:sz w:val="22"/>
          <w:highlight w:val="none"/>
          <w:lang w:eastAsia="zh-CN"/>
        </w:rPr>
        <w:t>：</w:t>
      </w:r>
      <w:bookmarkEnd w:id="105"/>
    </w:p>
    <w:p w14:paraId="363C1238">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职工（在职）人数</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人，其中技术人员</w:t>
      </w:r>
      <w:r>
        <w:rPr>
          <w:rFonts w:hint="eastAsia" w:ascii="宋体" w:hAnsi="宋体" w:eastAsia="宋体" w:cs="宋体"/>
          <w:color w:val="auto"/>
          <w:sz w:val="22"/>
          <w:highlight w:val="none"/>
          <w:u w:val="single"/>
        </w:rPr>
        <w:t xml:space="preserve">       </w:t>
      </w:r>
      <w:r>
        <w:rPr>
          <w:rFonts w:hint="eastAsia" w:ascii="宋体" w:hAnsi="宋体" w:eastAsia="宋体" w:cs="宋体"/>
          <w:color w:val="auto"/>
          <w:sz w:val="22"/>
          <w:highlight w:val="none"/>
        </w:rPr>
        <w:t>人，</w:t>
      </w:r>
    </w:p>
    <w:p w14:paraId="0BC4603A">
      <w:pPr>
        <w:wordWrap w:val="0"/>
        <w:spacing w:line="360" w:lineRule="auto"/>
        <w:ind w:left="660" w:hanging="660" w:hangingChars="300"/>
        <w:outlineLvl w:val="0"/>
        <w:rPr>
          <w:rFonts w:hint="eastAsia" w:ascii="宋体" w:hAnsi="宋体" w:eastAsia="宋体" w:cs="宋体"/>
          <w:color w:val="auto"/>
          <w:sz w:val="22"/>
          <w:highlight w:val="none"/>
        </w:rPr>
      </w:pPr>
      <w:bookmarkStart w:id="106" w:name="_Toc21787"/>
      <w:bookmarkStart w:id="107" w:name="_Toc22181"/>
      <w:bookmarkStart w:id="108" w:name="_Toc1185"/>
      <w:bookmarkStart w:id="109" w:name="_Toc30240"/>
      <w:bookmarkStart w:id="110" w:name="_Toc22922"/>
      <w:r>
        <w:rPr>
          <w:rFonts w:hint="eastAsia" w:ascii="宋体" w:hAnsi="宋体" w:eastAsia="宋体" w:cs="宋体"/>
          <w:color w:val="auto"/>
          <w:sz w:val="22"/>
          <w:highlight w:val="none"/>
        </w:rPr>
        <w:t>4. 近三年的年营业总额</w:t>
      </w:r>
      <w:bookmarkEnd w:id="106"/>
      <w:bookmarkEnd w:id="107"/>
      <w:bookmarkEnd w:id="108"/>
      <w:bookmarkEnd w:id="109"/>
      <w:bookmarkEnd w:id="110"/>
      <w:r>
        <w:rPr>
          <w:rFonts w:hint="eastAsia" w:ascii="宋体" w:hAnsi="宋体" w:eastAsia="宋体" w:cs="宋体"/>
          <w:color w:val="auto"/>
          <w:sz w:val="22"/>
          <w:highlight w:val="none"/>
          <w:u w:val="single"/>
        </w:rPr>
        <w:t xml:space="preserve">                       </w:t>
      </w:r>
    </w:p>
    <w:p w14:paraId="1F33720F">
      <w:pPr>
        <w:wordWrap w:val="0"/>
        <w:spacing w:line="360" w:lineRule="auto"/>
        <w:ind w:firstLine="220" w:firstLineChars="100"/>
        <w:rPr>
          <w:rFonts w:hint="eastAsia" w:ascii="宋体" w:hAnsi="宋体" w:eastAsia="宋体" w:cs="宋体"/>
          <w:color w:val="auto"/>
          <w:sz w:val="22"/>
          <w:highlight w:val="none"/>
        </w:rPr>
      </w:pPr>
      <w:r>
        <w:rPr>
          <w:rFonts w:hint="eastAsia" w:ascii="宋体" w:hAnsi="宋体" w:eastAsia="宋体" w:cs="宋体"/>
          <w:color w:val="auto"/>
          <w:sz w:val="22"/>
          <w:highlight w:val="none"/>
        </w:rPr>
        <w:t>兹证明上述声明是真实、正确的、并提供了全部能提供的资料和数据，我们同意遵照贵方要求出示有关证明文件。</w:t>
      </w:r>
    </w:p>
    <w:p w14:paraId="44D248EB">
      <w:pPr>
        <w:wordWrap w:val="0"/>
        <w:spacing w:line="360" w:lineRule="auto"/>
        <w:rPr>
          <w:rFonts w:hint="eastAsia" w:ascii="宋体" w:hAnsi="宋体" w:eastAsia="宋体" w:cs="宋体"/>
          <w:color w:val="auto"/>
          <w:sz w:val="22"/>
          <w:highlight w:val="none"/>
        </w:rPr>
      </w:pPr>
    </w:p>
    <w:p w14:paraId="794C24D6">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供应商名称</w:t>
      </w:r>
      <w:r>
        <w:rPr>
          <w:rFonts w:hint="eastAsia" w:ascii="宋体" w:hAnsi="宋体" w:eastAsia="宋体" w:cs="宋体"/>
          <w:color w:val="auto"/>
          <w:sz w:val="22"/>
          <w:highlight w:val="none"/>
          <w:u w:val="single"/>
        </w:rPr>
        <w:t xml:space="preserve">                               （盖章）</w:t>
      </w:r>
    </w:p>
    <w:p w14:paraId="12F8E106">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法定代表人姓名和职务</w:t>
      </w:r>
      <w:r>
        <w:rPr>
          <w:rFonts w:hint="eastAsia" w:ascii="宋体" w:hAnsi="宋体" w:eastAsia="宋体" w:cs="宋体"/>
          <w:color w:val="auto"/>
          <w:sz w:val="22"/>
          <w:highlight w:val="none"/>
          <w:u w:val="single"/>
        </w:rPr>
        <w:t xml:space="preserve">                     </w:t>
      </w:r>
    </w:p>
    <w:p w14:paraId="5DA7D58E">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highlight w:val="none"/>
        </w:rPr>
        <w:t>法定代表人（负责人）或</w:t>
      </w:r>
      <w:r>
        <w:rPr>
          <w:rFonts w:hint="eastAsia" w:ascii="宋体" w:hAnsi="宋体" w:eastAsia="宋体" w:cs="宋体"/>
          <w:color w:val="auto"/>
          <w:sz w:val="22"/>
          <w:szCs w:val="22"/>
          <w:highlight w:val="none"/>
          <w:lang w:val="zh-CN"/>
        </w:rPr>
        <w:t>授权代表（签字或签章）</w:t>
      </w:r>
      <w:r>
        <w:rPr>
          <w:rFonts w:hint="eastAsia" w:ascii="宋体" w:hAnsi="宋体" w:eastAsia="宋体" w:cs="宋体"/>
          <w:color w:val="auto"/>
          <w:sz w:val="22"/>
          <w:highlight w:val="none"/>
          <w:u w:val="single"/>
        </w:rPr>
        <w:t xml:space="preserve">                           </w:t>
      </w:r>
    </w:p>
    <w:p w14:paraId="09D37039">
      <w:pPr>
        <w:wordWrap w:val="0"/>
        <w:spacing w:line="360" w:lineRule="auto"/>
        <w:rPr>
          <w:rFonts w:hint="eastAsia" w:ascii="宋体" w:hAnsi="宋体" w:eastAsia="宋体" w:cs="宋体"/>
          <w:color w:val="auto"/>
          <w:sz w:val="22"/>
          <w:highlight w:val="none"/>
        </w:rPr>
      </w:pPr>
      <w:r>
        <w:rPr>
          <w:rFonts w:hint="eastAsia" w:ascii="宋体" w:hAnsi="宋体" w:eastAsia="宋体" w:cs="宋体"/>
          <w:color w:val="auto"/>
          <w:sz w:val="22"/>
          <w:highlight w:val="none"/>
        </w:rPr>
        <w:t>签字日期</w:t>
      </w:r>
      <w:r>
        <w:rPr>
          <w:rFonts w:hint="eastAsia" w:ascii="宋体" w:hAnsi="宋体" w:eastAsia="宋体" w:cs="宋体"/>
          <w:color w:val="auto"/>
          <w:sz w:val="22"/>
          <w:highlight w:val="none"/>
          <w:u w:val="single"/>
        </w:rPr>
        <w:t xml:space="preserve">                                 </w:t>
      </w:r>
    </w:p>
    <w:p w14:paraId="1ED0BD47">
      <w:pPr>
        <w:wordWrap w:val="0"/>
        <w:spacing w:line="360" w:lineRule="auto"/>
        <w:rPr>
          <w:rFonts w:hint="eastAsia" w:ascii="宋体" w:hAnsi="宋体" w:eastAsia="宋体" w:cs="宋体"/>
          <w:color w:val="auto"/>
          <w:sz w:val="22"/>
          <w:highlight w:val="none"/>
          <w:u w:val="single"/>
        </w:rPr>
      </w:pPr>
      <w:r>
        <w:rPr>
          <w:rFonts w:hint="eastAsia" w:ascii="宋体" w:hAnsi="宋体" w:eastAsia="宋体" w:cs="宋体"/>
          <w:color w:val="auto"/>
          <w:sz w:val="22"/>
          <w:highlight w:val="none"/>
        </w:rPr>
        <w:t>电子邮件</w:t>
      </w:r>
      <w:r>
        <w:rPr>
          <w:rFonts w:hint="eastAsia" w:ascii="宋体" w:hAnsi="宋体" w:eastAsia="宋体" w:cs="宋体"/>
          <w:color w:val="auto"/>
          <w:sz w:val="22"/>
          <w:highlight w:val="none"/>
          <w:u w:val="single"/>
        </w:rPr>
        <w:t xml:space="preserve">                                 </w:t>
      </w:r>
    </w:p>
    <w:p w14:paraId="421F2680">
      <w:pPr>
        <w:pStyle w:val="14"/>
        <w:wordWrap w:val="0"/>
        <w:spacing w:line="360" w:lineRule="auto"/>
        <w:rPr>
          <w:rFonts w:hint="eastAsia" w:ascii="宋体" w:hAnsi="宋体" w:eastAsia="宋体" w:cs="宋体"/>
          <w:b/>
          <w:color w:val="auto"/>
          <w:sz w:val="32"/>
          <w:szCs w:val="32"/>
          <w:highlight w:val="none"/>
        </w:rPr>
      </w:pPr>
    </w:p>
    <w:p w14:paraId="7044902C">
      <w:pPr>
        <w:pStyle w:val="14"/>
        <w:wordWrap w:val="0"/>
        <w:spacing w:line="360" w:lineRule="auto"/>
        <w:rPr>
          <w:rFonts w:hint="eastAsia" w:ascii="宋体" w:hAnsi="宋体" w:eastAsia="宋体" w:cs="宋体"/>
          <w:b/>
          <w:color w:val="auto"/>
          <w:sz w:val="32"/>
          <w:szCs w:val="32"/>
          <w:highlight w:val="none"/>
        </w:rPr>
      </w:pPr>
    </w:p>
    <w:p w14:paraId="6157D270">
      <w:pPr>
        <w:shd w:val="clear" w:color="auto" w:fill="auto"/>
        <w:wordWrap w:val="0"/>
        <w:autoSpaceDE w:val="0"/>
        <w:autoSpaceDN w:val="0"/>
        <w:adjustRightInd w:val="0"/>
        <w:spacing w:line="360" w:lineRule="auto"/>
        <w:outlineLvl w:val="0"/>
        <w:rPr>
          <w:rFonts w:hint="eastAsia" w:ascii="宋体" w:hAnsi="宋体" w:eastAsia="宋体" w:cs="宋体"/>
          <w:b/>
          <w:color w:val="auto"/>
          <w:sz w:val="32"/>
          <w:highlight w:val="none"/>
          <w:lang w:val="zh-CN"/>
        </w:rPr>
      </w:pPr>
      <w:r>
        <w:rPr>
          <w:rFonts w:hint="eastAsia" w:ascii="宋体" w:hAnsi="宋体" w:eastAsia="宋体" w:cs="宋体"/>
          <w:b/>
          <w:color w:val="auto"/>
          <w:sz w:val="32"/>
          <w:szCs w:val="32"/>
          <w:highlight w:val="none"/>
          <w:lang w:val="en-US" w:eastAsia="zh-CN"/>
        </w:rPr>
        <w:t>3.6</w:t>
      </w:r>
      <w:r>
        <w:rPr>
          <w:rFonts w:hint="eastAsia" w:ascii="宋体" w:hAnsi="宋体" w:eastAsia="宋体" w:cs="宋体"/>
          <w:b/>
          <w:color w:val="auto"/>
          <w:sz w:val="32"/>
          <w:highlight w:val="none"/>
          <w:lang w:val="zh-CN"/>
        </w:rPr>
        <w:t>类似项目业绩证明</w:t>
      </w:r>
    </w:p>
    <w:p w14:paraId="4A22D87F">
      <w:pPr>
        <w:widowControl w:val="0"/>
        <w:shd w:val="clear" w:color="auto" w:fill="auto"/>
        <w:wordWrap w:val="0"/>
        <w:adjustRightInd w:val="0"/>
        <w:snapToGrid w:val="0"/>
        <w:spacing w:line="360" w:lineRule="auto"/>
        <w:jc w:val="center"/>
        <w:outlineLvl w:val="1"/>
        <w:rPr>
          <w:rFonts w:hint="eastAsia" w:ascii="宋体" w:hAnsi="宋体" w:eastAsia="宋体" w:cs="宋体"/>
          <w:color w:val="auto"/>
          <w:kern w:val="2"/>
          <w:sz w:val="36"/>
          <w:szCs w:val="36"/>
          <w:highlight w:val="none"/>
          <w:lang w:val="en-US" w:eastAsia="zh-CN" w:bidi="ar-SA"/>
        </w:rPr>
      </w:pPr>
      <w:bookmarkStart w:id="111" w:name="_Toc15194"/>
      <w:bookmarkStart w:id="112" w:name="_Toc18976"/>
      <w:bookmarkStart w:id="113" w:name="_Toc21195"/>
      <w:r>
        <w:rPr>
          <w:rFonts w:hint="eastAsia" w:ascii="宋体" w:hAnsi="宋体" w:eastAsia="宋体" w:cs="宋体"/>
          <w:color w:val="auto"/>
          <w:kern w:val="2"/>
          <w:sz w:val="36"/>
          <w:szCs w:val="36"/>
          <w:highlight w:val="none"/>
          <w:lang w:val="en-US" w:eastAsia="zh-CN" w:bidi="ar-SA"/>
        </w:rPr>
        <w:t>类似项目业绩证明（按评标细则要求提供）（复印件加盖公章）</w:t>
      </w:r>
      <w:bookmarkEnd w:id="111"/>
      <w:bookmarkEnd w:id="112"/>
      <w:bookmarkEnd w:id="113"/>
    </w:p>
    <w:tbl>
      <w:tblPr>
        <w:tblStyle w:val="2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30" w:type="dxa"/>
          <w:bottom w:w="0" w:type="dxa"/>
          <w:right w:w="30" w:type="dxa"/>
        </w:tblCellMar>
      </w:tblPr>
      <w:tblGrid>
        <w:gridCol w:w="537"/>
        <w:gridCol w:w="1041"/>
        <w:gridCol w:w="1199"/>
        <w:gridCol w:w="970"/>
        <w:gridCol w:w="966"/>
        <w:gridCol w:w="1034"/>
        <w:gridCol w:w="1695"/>
        <w:gridCol w:w="1174"/>
        <w:gridCol w:w="1407"/>
      </w:tblGrid>
      <w:tr w14:paraId="5E299A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1FBA2903">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序号</w:t>
            </w:r>
          </w:p>
        </w:tc>
        <w:tc>
          <w:tcPr>
            <w:tcW w:w="1041" w:type="dxa"/>
            <w:noWrap w:val="0"/>
            <w:vAlign w:val="center"/>
          </w:tcPr>
          <w:p w14:paraId="75C2ECF5">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项目名称</w:t>
            </w:r>
          </w:p>
        </w:tc>
        <w:tc>
          <w:tcPr>
            <w:tcW w:w="1199" w:type="dxa"/>
            <w:noWrap w:val="0"/>
            <w:vAlign w:val="center"/>
          </w:tcPr>
          <w:p w14:paraId="03A214A6">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项目地址</w:t>
            </w:r>
          </w:p>
        </w:tc>
        <w:tc>
          <w:tcPr>
            <w:tcW w:w="970" w:type="dxa"/>
            <w:noWrap w:val="0"/>
            <w:vAlign w:val="center"/>
          </w:tcPr>
          <w:p w14:paraId="2D988728">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合同内容</w:t>
            </w:r>
          </w:p>
        </w:tc>
        <w:tc>
          <w:tcPr>
            <w:tcW w:w="966" w:type="dxa"/>
            <w:noWrap w:val="0"/>
            <w:vAlign w:val="center"/>
          </w:tcPr>
          <w:p w14:paraId="19907509">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合同总价</w:t>
            </w:r>
          </w:p>
        </w:tc>
        <w:tc>
          <w:tcPr>
            <w:tcW w:w="1034" w:type="dxa"/>
            <w:noWrap w:val="0"/>
            <w:vAlign w:val="center"/>
          </w:tcPr>
          <w:p w14:paraId="51A4AC21">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签约日期</w:t>
            </w:r>
          </w:p>
        </w:tc>
        <w:tc>
          <w:tcPr>
            <w:tcW w:w="1695" w:type="dxa"/>
            <w:tcBorders>
              <w:right w:val="single" w:color="auto" w:sz="4" w:space="0"/>
            </w:tcBorders>
            <w:noWrap w:val="0"/>
            <w:vAlign w:val="center"/>
          </w:tcPr>
          <w:p w14:paraId="0C78FA74">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发包方联系人</w:t>
            </w:r>
          </w:p>
        </w:tc>
        <w:tc>
          <w:tcPr>
            <w:tcW w:w="1174" w:type="dxa"/>
            <w:tcBorders>
              <w:left w:val="single" w:color="auto" w:sz="4" w:space="0"/>
              <w:right w:val="single" w:color="auto" w:sz="4" w:space="0"/>
            </w:tcBorders>
            <w:noWrap w:val="0"/>
            <w:vAlign w:val="center"/>
          </w:tcPr>
          <w:p w14:paraId="0F4EE1F4">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联系电话</w:t>
            </w:r>
          </w:p>
        </w:tc>
        <w:tc>
          <w:tcPr>
            <w:tcW w:w="1407" w:type="dxa"/>
            <w:tcBorders>
              <w:left w:val="single" w:color="auto" w:sz="4" w:space="0"/>
            </w:tcBorders>
            <w:noWrap w:val="0"/>
            <w:vAlign w:val="center"/>
          </w:tcPr>
          <w:p w14:paraId="36A0F390">
            <w:pPr>
              <w:shd w:val="clear" w:color="auto" w:fill="auto"/>
              <w:wordWrap w:val="0"/>
              <w:autoSpaceDE w:val="0"/>
              <w:autoSpaceDN w:val="0"/>
              <w:adjustRightInd w:val="0"/>
              <w:spacing w:line="360" w:lineRule="auto"/>
              <w:jc w:val="center"/>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获奖情况</w:t>
            </w:r>
          </w:p>
        </w:tc>
      </w:tr>
      <w:tr w14:paraId="3B7B5E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58EF9EA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467EFCD7">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48C09C08">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2B800152">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097D631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4D699845">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320587B9">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784E2B1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789827BE">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48B378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0F8512C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2885F70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5251DB76">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1CBA9BC6">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3EB1816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628EF5BB">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09BF114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56B0F408">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605FC4A9">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718DF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42F65E97">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496FA08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681D2C06">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378894D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28ED294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7FE47BA1">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37464C0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72C7750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0C19E199">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75661A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530A50AE">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551AD15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1B87829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490627D5">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77479AC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768F12DE">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2E143E7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6B513EB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60AFF3F8">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6B21D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5C620B9B">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5186BC94">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3A95551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5AF6468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5A1E4F7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34DB4C6C">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6841443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527BA15A">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426282D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7FFC9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1936F80B">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77668A8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4E291F45">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7B2D262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24A3596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34EE919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5A16E826">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4A2BCF7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22065D4F">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r w14:paraId="2C56EF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30" w:type="dxa"/>
            <w:bottom w:w="0" w:type="dxa"/>
            <w:right w:w="30" w:type="dxa"/>
          </w:tblCellMar>
        </w:tblPrEx>
        <w:trPr>
          <w:trHeight w:val="620" w:hRule="exact"/>
          <w:jc w:val="center"/>
        </w:trPr>
        <w:tc>
          <w:tcPr>
            <w:tcW w:w="537" w:type="dxa"/>
            <w:noWrap w:val="0"/>
            <w:vAlign w:val="center"/>
          </w:tcPr>
          <w:p w14:paraId="6C891EA5">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41" w:type="dxa"/>
            <w:noWrap w:val="0"/>
            <w:vAlign w:val="center"/>
          </w:tcPr>
          <w:p w14:paraId="7E4463A3">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99" w:type="dxa"/>
            <w:noWrap w:val="0"/>
            <w:vAlign w:val="center"/>
          </w:tcPr>
          <w:p w14:paraId="782C2484">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70" w:type="dxa"/>
            <w:noWrap w:val="0"/>
            <w:vAlign w:val="center"/>
          </w:tcPr>
          <w:p w14:paraId="1A086280">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966" w:type="dxa"/>
            <w:noWrap w:val="0"/>
            <w:vAlign w:val="center"/>
          </w:tcPr>
          <w:p w14:paraId="28B56F6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034" w:type="dxa"/>
            <w:noWrap w:val="0"/>
            <w:vAlign w:val="center"/>
          </w:tcPr>
          <w:p w14:paraId="65E99B51">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695" w:type="dxa"/>
            <w:tcBorders>
              <w:right w:val="single" w:color="auto" w:sz="4" w:space="0"/>
            </w:tcBorders>
            <w:noWrap w:val="0"/>
            <w:vAlign w:val="center"/>
          </w:tcPr>
          <w:p w14:paraId="0862B6A1">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174" w:type="dxa"/>
            <w:tcBorders>
              <w:left w:val="single" w:color="auto" w:sz="4" w:space="0"/>
              <w:right w:val="single" w:color="auto" w:sz="4" w:space="0"/>
            </w:tcBorders>
            <w:noWrap w:val="0"/>
            <w:vAlign w:val="center"/>
          </w:tcPr>
          <w:p w14:paraId="1BB2F50E">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c>
          <w:tcPr>
            <w:tcW w:w="1407" w:type="dxa"/>
            <w:tcBorders>
              <w:left w:val="single" w:color="auto" w:sz="4" w:space="0"/>
            </w:tcBorders>
            <w:noWrap w:val="0"/>
            <w:vAlign w:val="center"/>
          </w:tcPr>
          <w:p w14:paraId="43C19B4D">
            <w:pPr>
              <w:shd w:val="clear" w:color="auto" w:fill="auto"/>
              <w:wordWrap w:val="0"/>
              <w:autoSpaceDE w:val="0"/>
              <w:autoSpaceDN w:val="0"/>
              <w:adjustRightInd w:val="0"/>
              <w:spacing w:line="360" w:lineRule="auto"/>
              <w:jc w:val="center"/>
              <w:rPr>
                <w:rFonts w:hint="eastAsia" w:ascii="宋体" w:hAnsi="宋体" w:eastAsia="宋体" w:cs="宋体"/>
                <w:color w:val="auto"/>
                <w:highlight w:val="none"/>
              </w:rPr>
            </w:pPr>
          </w:p>
        </w:tc>
      </w:tr>
    </w:tbl>
    <w:p w14:paraId="53F09C01">
      <w:pPr>
        <w:shd w:val="clear" w:color="auto" w:fill="auto"/>
        <w:wordWrap w:val="0"/>
        <w:spacing w:line="360" w:lineRule="auto"/>
        <w:rPr>
          <w:rFonts w:hint="eastAsia" w:ascii="宋体" w:hAnsi="宋体" w:eastAsia="宋体" w:cs="宋体"/>
          <w:b/>
          <w:color w:val="auto"/>
          <w:sz w:val="22"/>
          <w:szCs w:val="22"/>
          <w:highlight w:val="none"/>
        </w:rPr>
      </w:pPr>
      <w:r>
        <w:rPr>
          <w:rFonts w:hint="eastAsia" w:ascii="宋体" w:hAnsi="宋体" w:eastAsia="宋体" w:cs="宋体"/>
          <w:b/>
          <w:color w:val="auto"/>
          <w:sz w:val="22"/>
          <w:szCs w:val="22"/>
          <w:highlight w:val="none"/>
        </w:rPr>
        <w:t>注：1、按评标细则要求提供（加盖单位公章）须附在商务技术投标文件中</w:t>
      </w:r>
      <w:r>
        <w:rPr>
          <w:rFonts w:hint="eastAsia" w:ascii="宋体" w:hAnsi="宋体" w:eastAsia="宋体" w:cs="宋体"/>
          <w:color w:val="auto"/>
          <w:sz w:val="22"/>
          <w:szCs w:val="22"/>
          <w:highlight w:val="none"/>
        </w:rPr>
        <w:t>。</w:t>
      </w:r>
    </w:p>
    <w:p w14:paraId="17C7D9C0">
      <w:pPr>
        <w:widowControl w:val="0"/>
        <w:shd w:val="clear" w:color="auto" w:fill="auto"/>
        <w:wordWrap w:val="0"/>
        <w:spacing w:line="360" w:lineRule="auto"/>
        <w:jc w:val="both"/>
        <w:rPr>
          <w:rFonts w:hint="eastAsia" w:ascii="宋体" w:hAnsi="宋体" w:eastAsia="宋体" w:cs="宋体"/>
          <w:b/>
          <w:color w:val="auto"/>
          <w:kern w:val="2"/>
          <w:sz w:val="22"/>
          <w:szCs w:val="22"/>
          <w:highlight w:val="none"/>
          <w:lang w:val="en-US" w:eastAsia="zh-CN" w:bidi="ar-SA"/>
        </w:rPr>
      </w:pPr>
    </w:p>
    <w:p w14:paraId="25AF11CA">
      <w:pPr>
        <w:widowControl w:val="0"/>
        <w:shd w:val="clear" w:color="auto" w:fill="auto"/>
        <w:wordWrap w:val="0"/>
        <w:spacing w:line="360" w:lineRule="auto"/>
        <w:jc w:val="both"/>
        <w:rPr>
          <w:rFonts w:hint="eastAsia" w:ascii="宋体" w:hAnsi="宋体" w:eastAsia="宋体" w:cs="宋体"/>
          <w:b/>
          <w:color w:val="auto"/>
          <w:kern w:val="2"/>
          <w:sz w:val="22"/>
          <w:szCs w:val="22"/>
          <w:highlight w:val="none"/>
          <w:lang w:val="en-US" w:eastAsia="zh-CN" w:bidi="ar-SA"/>
        </w:rPr>
      </w:pPr>
    </w:p>
    <w:p w14:paraId="735165D0">
      <w:pPr>
        <w:widowControl w:val="0"/>
        <w:shd w:val="clear" w:color="auto" w:fill="auto"/>
        <w:wordWrap w:val="0"/>
        <w:spacing w:line="360" w:lineRule="auto"/>
        <w:jc w:val="both"/>
        <w:rPr>
          <w:rFonts w:hint="eastAsia" w:ascii="宋体" w:hAnsi="宋体" w:eastAsia="宋体" w:cs="宋体"/>
          <w:b/>
          <w:color w:val="auto"/>
          <w:kern w:val="2"/>
          <w:sz w:val="22"/>
          <w:szCs w:val="22"/>
          <w:highlight w:val="none"/>
          <w:lang w:val="en-US" w:eastAsia="zh-CN" w:bidi="ar-SA"/>
        </w:rPr>
      </w:pPr>
    </w:p>
    <w:p w14:paraId="19A173CB">
      <w:pPr>
        <w:widowControl w:val="0"/>
        <w:shd w:val="clear" w:color="auto" w:fill="auto"/>
        <w:wordWrap w:val="0"/>
        <w:spacing w:line="360" w:lineRule="auto"/>
        <w:jc w:val="both"/>
        <w:rPr>
          <w:rFonts w:hint="eastAsia" w:ascii="宋体" w:hAnsi="宋体" w:eastAsia="宋体" w:cs="宋体"/>
          <w:b/>
          <w:color w:val="auto"/>
          <w:kern w:val="2"/>
          <w:sz w:val="22"/>
          <w:szCs w:val="20"/>
          <w:highlight w:val="none"/>
          <w:lang w:val="en-US" w:eastAsia="zh-CN" w:bidi="ar-SA"/>
        </w:rPr>
      </w:pPr>
      <w:r>
        <w:rPr>
          <w:rFonts w:hint="eastAsia" w:ascii="宋体" w:hAnsi="宋体" w:eastAsia="宋体" w:cs="宋体"/>
          <w:b/>
          <w:color w:val="auto"/>
          <w:kern w:val="2"/>
          <w:sz w:val="22"/>
          <w:szCs w:val="20"/>
          <w:highlight w:val="none"/>
          <w:lang w:val="en-US" w:eastAsia="zh-CN" w:bidi="ar-SA"/>
        </w:rPr>
        <w:t>供应商名称（盖章）：</w:t>
      </w:r>
    </w:p>
    <w:p w14:paraId="7F90DC12">
      <w:pPr>
        <w:widowControl w:val="0"/>
        <w:shd w:val="clear" w:color="auto" w:fill="auto"/>
        <w:wordWrap w:val="0"/>
        <w:spacing w:line="360" w:lineRule="auto"/>
        <w:jc w:val="both"/>
        <w:rPr>
          <w:rFonts w:hint="eastAsia" w:ascii="宋体" w:hAnsi="宋体" w:eastAsia="宋体" w:cs="宋体"/>
          <w:b/>
          <w:color w:val="auto"/>
          <w:kern w:val="2"/>
          <w:sz w:val="22"/>
          <w:szCs w:val="20"/>
          <w:highlight w:val="none"/>
          <w:lang w:val="en-US" w:eastAsia="zh-CN" w:bidi="ar-SA"/>
        </w:rPr>
      </w:pPr>
      <w:r>
        <w:rPr>
          <w:rFonts w:hint="eastAsia" w:ascii="宋体" w:hAnsi="宋体" w:eastAsia="宋体" w:cs="宋体"/>
          <w:b/>
          <w:color w:val="auto"/>
          <w:kern w:val="2"/>
          <w:sz w:val="22"/>
          <w:szCs w:val="20"/>
          <w:highlight w:val="none"/>
          <w:lang w:val="en-US" w:eastAsia="zh-CN" w:bidi="ar-SA"/>
        </w:rPr>
        <w:t>法定代表人或授权代表（签字或盖章）：</w:t>
      </w:r>
    </w:p>
    <w:p w14:paraId="71EC1E54">
      <w:pPr>
        <w:widowControl w:val="0"/>
        <w:shd w:val="clear" w:color="auto" w:fill="auto"/>
        <w:wordWrap w:val="0"/>
        <w:spacing w:line="360" w:lineRule="auto"/>
        <w:jc w:val="both"/>
        <w:rPr>
          <w:rFonts w:hint="eastAsia" w:ascii="宋体" w:hAnsi="宋体" w:eastAsia="宋体" w:cs="宋体"/>
          <w:b/>
          <w:color w:val="auto"/>
          <w:kern w:val="2"/>
          <w:sz w:val="22"/>
          <w:szCs w:val="20"/>
          <w:highlight w:val="none"/>
          <w:lang w:val="en-US" w:eastAsia="zh-CN" w:bidi="ar-SA"/>
        </w:rPr>
      </w:pPr>
      <w:r>
        <w:rPr>
          <w:rFonts w:hint="eastAsia" w:ascii="宋体" w:hAnsi="宋体" w:eastAsia="宋体" w:cs="宋体"/>
          <w:b/>
          <w:color w:val="auto"/>
          <w:kern w:val="2"/>
          <w:sz w:val="22"/>
          <w:szCs w:val="20"/>
          <w:highlight w:val="none"/>
          <w:lang w:val="en-US" w:eastAsia="zh-CN" w:bidi="ar-SA"/>
        </w:rPr>
        <w:t>日    期：</w:t>
      </w:r>
    </w:p>
    <w:p w14:paraId="75CB7D63">
      <w:pPr>
        <w:pStyle w:val="14"/>
        <w:wordWrap w:val="0"/>
        <w:spacing w:line="360" w:lineRule="auto"/>
        <w:rPr>
          <w:rFonts w:hint="eastAsia" w:ascii="宋体" w:hAnsi="宋体" w:eastAsia="宋体" w:cs="宋体"/>
          <w:b/>
          <w:color w:val="auto"/>
          <w:sz w:val="32"/>
          <w:szCs w:val="32"/>
          <w:highlight w:val="none"/>
          <w:lang w:val="en-US" w:eastAsia="zh-CN"/>
        </w:rPr>
      </w:pPr>
    </w:p>
    <w:p w14:paraId="595F5D22">
      <w:pPr>
        <w:rPr>
          <w:rFonts w:hint="eastAsia" w:ascii="宋体" w:hAnsi="宋体" w:eastAsia="宋体" w:cs="宋体"/>
          <w:b/>
          <w:color w:val="auto"/>
          <w:sz w:val="32"/>
          <w:highlight w:val="none"/>
          <w:lang w:val="zh-CN"/>
        </w:rPr>
      </w:pPr>
      <w:bookmarkStart w:id="114" w:name="_Toc7270"/>
      <w:bookmarkStart w:id="115" w:name="_Toc7312"/>
      <w:bookmarkStart w:id="116" w:name="_Toc12302"/>
      <w:bookmarkStart w:id="117" w:name="_Toc15806"/>
      <w:bookmarkStart w:id="118" w:name="_Toc749"/>
      <w:r>
        <w:rPr>
          <w:rFonts w:hint="eastAsia" w:ascii="宋体" w:hAnsi="宋体" w:eastAsia="宋体" w:cs="宋体"/>
          <w:b/>
          <w:color w:val="auto"/>
          <w:sz w:val="32"/>
          <w:highlight w:val="none"/>
          <w:lang w:val="zh-CN"/>
        </w:rPr>
        <w:br w:type="page"/>
      </w:r>
    </w:p>
    <w:p w14:paraId="2DBD7F60">
      <w:pPr>
        <w:wordWrap w:val="0"/>
        <w:autoSpaceDE w:val="0"/>
        <w:autoSpaceDN w:val="0"/>
        <w:adjustRightInd w:val="0"/>
        <w:spacing w:line="360" w:lineRule="auto"/>
        <w:outlineLvl w:val="0"/>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lang w:val="zh-CN"/>
        </w:rPr>
        <w:t>3.</w:t>
      </w:r>
      <w:r>
        <w:rPr>
          <w:rFonts w:hint="eastAsia" w:ascii="宋体" w:hAnsi="宋体" w:eastAsia="宋体" w:cs="宋体"/>
          <w:b/>
          <w:color w:val="auto"/>
          <w:sz w:val="32"/>
          <w:highlight w:val="none"/>
          <w:lang w:val="en-US" w:eastAsia="zh-CN"/>
        </w:rPr>
        <w:t>7</w:t>
      </w:r>
      <w:r>
        <w:rPr>
          <w:rFonts w:hint="eastAsia" w:ascii="宋体" w:hAnsi="宋体" w:eastAsia="宋体" w:cs="宋体"/>
          <w:b/>
          <w:color w:val="auto"/>
          <w:sz w:val="32"/>
          <w:highlight w:val="none"/>
          <w:lang w:val="zh-CN"/>
        </w:rPr>
        <w:t>商务偏离表、技术偏离表</w:t>
      </w:r>
      <w:bookmarkEnd w:id="114"/>
      <w:bookmarkEnd w:id="115"/>
      <w:bookmarkEnd w:id="116"/>
      <w:bookmarkEnd w:id="117"/>
      <w:bookmarkEnd w:id="118"/>
    </w:p>
    <w:p w14:paraId="570D85E6">
      <w:pPr>
        <w:wordWrap w:val="0"/>
        <w:autoSpaceDE w:val="0"/>
        <w:autoSpaceDN w:val="0"/>
        <w:adjustRightInd w:val="0"/>
        <w:spacing w:line="360" w:lineRule="auto"/>
        <w:ind w:firstLine="3413"/>
        <w:outlineLvl w:val="0"/>
        <w:rPr>
          <w:rFonts w:hint="eastAsia" w:ascii="宋体" w:hAnsi="宋体" w:eastAsia="宋体" w:cs="宋体"/>
          <w:b/>
          <w:color w:val="auto"/>
          <w:sz w:val="36"/>
          <w:highlight w:val="none"/>
          <w:lang w:val="zh-CN"/>
        </w:rPr>
      </w:pPr>
      <w:bookmarkStart w:id="119" w:name="_Toc16019"/>
      <w:bookmarkStart w:id="120" w:name="_Toc21941"/>
      <w:bookmarkStart w:id="121" w:name="_Toc14824"/>
      <w:bookmarkStart w:id="122" w:name="_Toc283"/>
      <w:bookmarkStart w:id="123" w:name="_Toc18670"/>
      <w:r>
        <w:rPr>
          <w:rFonts w:hint="eastAsia" w:ascii="宋体" w:hAnsi="宋体" w:eastAsia="宋体" w:cs="宋体"/>
          <w:b/>
          <w:color w:val="auto"/>
          <w:sz w:val="36"/>
          <w:highlight w:val="none"/>
          <w:lang w:val="zh-CN"/>
        </w:rPr>
        <w:t>商 务 偏 离 表</w:t>
      </w:r>
      <w:bookmarkEnd w:id="119"/>
      <w:bookmarkEnd w:id="120"/>
      <w:bookmarkEnd w:id="121"/>
      <w:bookmarkEnd w:id="122"/>
      <w:bookmarkEnd w:id="123"/>
    </w:p>
    <w:p w14:paraId="72C0E3BA">
      <w:pPr>
        <w:wordWrap w:val="0"/>
        <w:autoSpaceDE w:val="0"/>
        <w:autoSpaceDN w:val="0"/>
        <w:adjustRightInd w:val="0"/>
        <w:spacing w:line="360" w:lineRule="auto"/>
        <w:ind w:firstLine="3413"/>
        <w:rPr>
          <w:rFonts w:hint="eastAsia" w:ascii="宋体" w:hAnsi="宋体" w:eastAsia="宋体" w:cs="宋体"/>
          <w:b/>
          <w:color w:val="auto"/>
          <w:sz w:val="36"/>
          <w:highlight w:val="none"/>
          <w:lang w:val="zh-CN"/>
        </w:rPr>
      </w:pPr>
    </w:p>
    <w:tbl>
      <w:tblPr>
        <w:tblStyle w:val="28"/>
        <w:tblW w:w="0" w:type="auto"/>
        <w:tblInd w:w="0" w:type="dxa"/>
        <w:tblLayout w:type="fixed"/>
        <w:tblCellMar>
          <w:top w:w="0" w:type="dxa"/>
          <w:left w:w="108" w:type="dxa"/>
          <w:bottom w:w="0" w:type="dxa"/>
          <w:right w:w="108" w:type="dxa"/>
        </w:tblCellMar>
      </w:tblPr>
      <w:tblGrid>
        <w:gridCol w:w="900"/>
        <w:gridCol w:w="1800"/>
        <w:gridCol w:w="2664"/>
        <w:gridCol w:w="2110"/>
        <w:gridCol w:w="2126"/>
      </w:tblGrid>
      <w:tr w14:paraId="72425D55">
        <w:tblPrEx>
          <w:tblCellMar>
            <w:top w:w="0" w:type="dxa"/>
            <w:left w:w="108" w:type="dxa"/>
            <w:bottom w:w="0" w:type="dxa"/>
            <w:right w:w="108" w:type="dxa"/>
          </w:tblCellMar>
        </w:tblPrEx>
        <w:trPr>
          <w:trHeight w:val="936" w:hRule="atLeast"/>
        </w:trPr>
        <w:tc>
          <w:tcPr>
            <w:tcW w:w="900" w:type="dxa"/>
            <w:tcBorders>
              <w:top w:val="single" w:color="auto" w:sz="6" w:space="0"/>
              <w:left w:val="single" w:color="auto" w:sz="6" w:space="0"/>
              <w:bottom w:val="single" w:color="auto" w:sz="6" w:space="0"/>
              <w:right w:val="single" w:color="auto" w:sz="6" w:space="0"/>
            </w:tcBorders>
            <w:vAlign w:val="center"/>
          </w:tcPr>
          <w:p w14:paraId="70A43800">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vAlign w:val="center"/>
          </w:tcPr>
          <w:p w14:paraId="5AF98319">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内容</w:t>
            </w:r>
          </w:p>
        </w:tc>
        <w:tc>
          <w:tcPr>
            <w:tcW w:w="2664" w:type="dxa"/>
            <w:tcBorders>
              <w:top w:val="single" w:color="auto" w:sz="6" w:space="0"/>
              <w:left w:val="single" w:color="auto" w:sz="6" w:space="0"/>
              <w:bottom w:val="single" w:color="auto" w:sz="6" w:space="0"/>
              <w:right w:val="single" w:color="auto" w:sz="6" w:space="0"/>
            </w:tcBorders>
            <w:vAlign w:val="center"/>
          </w:tcPr>
          <w:p w14:paraId="4DF0D0E3">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采购文件规范要求</w:t>
            </w:r>
          </w:p>
        </w:tc>
        <w:tc>
          <w:tcPr>
            <w:tcW w:w="2110" w:type="dxa"/>
            <w:tcBorders>
              <w:top w:val="single" w:color="auto" w:sz="6" w:space="0"/>
              <w:left w:val="single" w:color="auto" w:sz="6" w:space="0"/>
              <w:bottom w:val="single" w:color="auto" w:sz="6" w:space="0"/>
              <w:right w:val="single" w:color="auto" w:sz="6" w:space="0"/>
            </w:tcBorders>
            <w:vAlign w:val="center"/>
          </w:tcPr>
          <w:p w14:paraId="2F01A9D0">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投标文件</w:t>
            </w:r>
          </w:p>
          <w:p w14:paraId="67635DE4">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对应规范</w:t>
            </w:r>
          </w:p>
        </w:tc>
        <w:tc>
          <w:tcPr>
            <w:tcW w:w="2126" w:type="dxa"/>
            <w:tcBorders>
              <w:top w:val="single" w:color="auto" w:sz="6" w:space="0"/>
              <w:left w:val="single" w:color="auto" w:sz="6" w:space="0"/>
              <w:bottom w:val="single" w:color="auto" w:sz="6" w:space="0"/>
              <w:right w:val="single" w:color="auto" w:sz="6" w:space="0"/>
            </w:tcBorders>
            <w:vAlign w:val="center"/>
          </w:tcPr>
          <w:p w14:paraId="2DC117F3">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备 注</w:t>
            </w:r>
          </w:p>
        </w:tc>
      </w:tr>
      <w:tr w14:paraId="7B0E6243">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3343B4A1">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16351D9">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377C6735">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2F982973">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77276EB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2AAB8492">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32B337A7">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41CC80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33F20EA4">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2EFFA3AC">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5F91CCF6">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71684323">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04579D9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0D1736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2C08AE9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4EB734A2">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55668D75">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76334FC9">
        <w:tblPrEx>
          <w:tblCellMar>
            <w:top w:w="0" w:type="dxa"/>
            <w:left w:w="108" w:type="dxa"/>
            <w:bottom w:w="0" w:type="dxa"/>
            <w:right w:w="108" w:type="dxa"/>
          </w:tblCellMar>
        </w:tblPrEx>
        <w:trPr>
          <w:trHeight w:val="436" w:hRule="atLeast"/>
        </w:trPr>
        <w:tc>
          <w:tcPr>
            <w:tcW w:w="900" w:type="dxa"/>
            <w:tcBorders>
              <w:top w:val="single" w:color="auto" w:sz="6" w:space="0"/>
              <w:left w:val="single" w:color="auto" w:sz="6" w:space="0"/>
              <w:bottom w:val="single" w:color="auto" w:sz="6" w:space="0"/>
              <w:right w:val="single" w:color="auto" w:sz="6" w:space="0"/>
            </w:tcBorders>
          </w:tcPr>
          <w:p w14:paraId="176D1824">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098B0750">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0F3CF9B1">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54ED65EA">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77D43140">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08FE0D9D">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7AEA20E4">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73D3F429">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53C515DD">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1D13DCCD">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06299BF2">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3FB259CF">
        <w:tblPrEx>
          <w:tblCellMar>
            <w:top w:w="0" w:type="dxa"/>
            <w:left w:w="108" w:type="dxa"/>
            <w:bottom w:w="0" w:type="dxa"/>
            <w:right w:w="108" w:type="dxa"/>
          </w:tblCellMar>
        </w:tblPrEx>
        <w:trPr>
          <w:trHeight w:val="424" w:hRule="atLeast"/>
        </w:trPr>
        <w:tc>
          <w:tcPr>
            <w:tcW w:w="900" w:type="dxa"/>
            <w:tcBorders>
              <w:top w:val="single" w:color="auto" w:sz="6" w:space="0"/>
              <w:left w:val="single" w:color="auto" w:sz="6" w:space="0"/>
              <w:bottom w:val="single" w:color="auto" w:sz="6" w:space="0"/>
              <w:right w:val="single" w:color="auto" w:sz="6" w:space="0"/>
            </w:tcBorders>
          </w:tcPr>
          <w:p w14:paraId="2905DFE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4FEBEAB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664" w:type="dxa"/>
            <w:tcBorders>
              <w:top w:val="single" w:color="auto" w:sz="6" w:space="0"/>
              <w:left w:val="single" w:color="auto" w:sz="6" w:space="0"/>
              <w:bottom w:val="single" w:color="auto" w:sz="6" w:space="0"/>
              <w:right w:val="single" w:color="auto" w:sz="6" w:space="0"/>
            </w:tcBorders>
          </w:tcPr>
          <w:p w14:paraId="10FC9EFC">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10" w:type="dxa"/>
            <w:tcBorders>
              <w:top w:val="single" w:color="auto" w:sz="6" w:space="0"/>
              <w:left w:val="single" w:color="auto" w:sz="6" w:space="0"/>
              <w:bottom w:val="single" w:color="auto" w:sz="6" w:space="0"/>
              <w:right w:val="single" w:color="auto" w:sz="6" w:space="0"/>
            </w:tcBorders>
          </w:tcPr>
          <w:p w14:paraId="409E1AB3">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126" w:type="dxa"/>
            <w:tcBorders>
              <w:top w:val="single" w:color="auto" w:sz="6" w:space="0"/>
              <w:left w:val="single" w:color="auto" w:sz="6" w:space="0"/>
              <w:bottom w:val="single" w:color="auto" w:sz="6" w:space="0"/>
              <w:right w:val="single" w:color="auto" w:sz="6" w:space="0"/>
            </w:tcBorders>
          </w:tcPr>
          <w:p w14:paraId="2F03EA3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bl>
    <w:p w14:paraId="370AF4B5">
      <w:pPr>
        <w:wordWrap w:val="0"/>
        <w:autoSpaceDE w:val="0"/>
        <w:autoSpaceDN w:val="0"/>
        <w:adjustRightInd w:val="0"/>
        <w:spacing w:line="360" w:lineRule="auto"/>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供应商盖章：</w:t>
      </w:r>
    </w:p>
    <w:p w14:paraId="5F0D6FAF">
      <w:pPr>
        <w:wordWrap w:val="0"/>
        <w:autoSpaceDE w:val="0"/>
        <w:autoSpaceDN w:val="0"/>
        <w:adjustRightInd w:val="0"/>
        <w:spacing w:line="360" w:lineRule="auto"/>
        <w:rPr>
          <w:rFonts w:hint="eastAsia" w:ascii="宋体" w:hAnsi="宋体" w:eastAsia="宋体" w:cs="宋体"/>
          <w:b/>
          <w:color w:val="auto"/>
          <w:sz w:val="32"/>
          <w:highlight w:val="none"/>
          <w:lang w:val="zh-CN"/>
        </w:rPr>
      </w:pPr>
    </w:p>
    <w:p w14:paraId="537F7FBE">
      <w:pPr>
        <w:wordWrap w:val="0"/>
        <w:autoSpaceDE w:val="0"/>
        <w:autoSpaceDN w:val="0"/>
        <w:adjustRightInd w:val="0"/>
        <w:spacing w:line="360" w:lineRule="auto"/>
        <w:rPr>
          <w:rFonts w:hint="eastAsia" w:ascii="宋体" w:hAnsi="宋体" w:eastAsia="宋体" w:cs="宋体"/>
          <w:b/>
          <w:color w:val="auto"/>
          <w:sz w:val="32"/>
          <w:highlight w:val="none"/>
          <w:lang w:val="zh-CN"/>
        </w:rPr>
      </w:pPr>
    </w:p>
    <w:p w14:paraId="009CDEA5">
      <w:pPr>
        <w:wordWrap w:val="0"/>
        <w:autoSpaceDE w:val="0"/>
        <w:autoSpaceDN w:val="0"/>
        <w:adjustRightInd w:val="0"/>
        <w:spacing w:line="360" w:lineRule="auto"/>
        <w:rPr>
          <w:rFonts w:hint="eastAsia" w:ascii="宋体" w:hAnsi="宋体" w:eastAsia="宋体" w:cs="宋体"/>
          <w:b/>
          <w:color w:val="auto"/>
          <w:sz w:val="32"/>
          <w:highlight w:val="none"/>
          <w:lang w:val="zh-CN"/>
        </w:rPr>
      </w:pPr>
    </w:p>
    <w:p w14:paraId="112D973F">
      <w:pPr>
        <w:wordWrap w:val="0"/>
        <w:autoSpaceDE w:val="0"/>
        <w:autoSpaceDN w:val="0"/>
        <w:adjustRightInd w:val="0"/>
        <w:spacing w:line="360" w:lineRule="auto"/>
        <w:ind w:firstLine="3614" w:firstLineChars="1000"/>
        <w:outlineLvl w:val="0"/>
        <w:rPr>
          <w:rFonts w:hint="eastAsia" w:ascii="宋体" w:hAnsi="宋体" w:eastAsia="宋体" w:cs="宋体"/>
          <w:b/>
          <w:color w:val="auto"/>
          <w:sz w:val="36"/>
          <w:highlight w:val="none"/>
          <w:lang w:val="zh-CN"/>
        </w:rPr>
      </w:pPr>
      <w:bookmarkStart w:id="124" w:name="_Toc13844"/>
      <w:bookmarkStart w:id="125" w:name="_Toc6142"/>
      <w:bookmarkStart w:id="126" w:name="_Toc18312"/>
      <w:bookmarkStart w:id="127" w:name="_Toc31864"/>
      <w:bookmarkStart w:id="128" w:name="_Toc27863"/>
      <w:r>
        <w:rPr>
          <w:rFonts w:hint="eastAsia" w:ascii="宋体" w:hAnsi="宋体" w:eastAsia="宋体" w:cs="宋体"/>
          <w:b/>
          <w:color w:val="auto"/>
          <w:sz w:val="36"/>
          <w:highlight w:val="none"/>
          <w:lang w:val="zh-CN"/>
        </w:rPr>
        <w:t>技术偏离表</w:t>
      </w:r>
      <w:bookmarkEnd w:id="124"/>
      <w:bookmarkEnd w:id="125"/>
      <w:bookmarkEnd w:id="126"/>
      <w:bookmarkEnd w:id="127"/>
      <w:bookmarkEnd w:id="128"/>
    </w:p>
    <w:tbl>
      <w:tblPr>
        <w:tblStyle w:val="28"/>
        <w:tblW w:w="0" w:type="auto"/>
        <w:tblInd w:w="-192" w:type="dxa"/>
        <w:tblLayout w:type="fixed"/>
        <w:tblCellMar>
          <w:top w:w="0" w:type="dxa"/>
          <w:left w:w="108" w:type="dxa"/>
          <w:bottom w:w="0" w:type="dxa"/>
          <w:right w:w="108" w:type="dxa"/>
        </w:tblCellMar>
      </w:tblPr>
      <w:tblGrid>
        <w:gridCol w:w="900"/>
        <w:gridCol w:w="1800"/>
        <w:gridCol w:w="2300"/>
        <w:gridCol w:w="2000"/>
        <w:gridCol w:w="2800"/>
      </w:tblGrid>
      <w:tr w14:paraId="3F3BC931">
        <w:trPr>
          <w:trHeight w:val="918" w:hRule="atLeast"/>
        </w:trPr>
        <w:tc>
          <w:tcPr>
            <w:tcW w:w="900" w:type="dxa"/>
            <w:tcBorders>
              <w:top w:val="single" w:color="auto" w:sz="6" w:space="0"/>
              <w:left w:val="single" w:color="auto" w:sz="6" w:space="0"/>
              <w:bottom w:val="single" w:color="auto" w:sz="6" w:space="0"/>
              <w:right w:val="single" w:color="auto" w:sz="6" w:space="0"/>
            </w:tcBorders>
            <w:vAlign w:val="center"/>
          </w:tcPr>
          <w:p w14:paraId="3AD7FBBA">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序 号</w:t>
            </w:r>
          </w:p>
        </w:tc>
        <w:tc>
          <w:tcPr>
            <w:tcW w:w="1800" w:type="dxa"/>
            <w:tcBorders>
              <w:top w:val="single" w:color="auto" w:sz="6" w:space="0"/>
              <w:left w:val="single" w:color="auto" w:sz="6" w:space="0"/>
              <w:bottom w:val="single" w:color="auto" w:sz="6" w:space="0"/>
              <w:right w:val="single" w:color="auto" w:sz="6" w:space="0"/>
            </w:tcBorders>
            <w:vAlign w:val="center"/>
          </w:tcPr>
          <w:p w14:paraId="4D3F4EA2">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内容</w:t>
            </w:r>
          </w:p>
        </w:tc>
        <w:tc>
          <w:tcPr>
            <w:tcW w:w="2300" w:type="dxa"/>
            <w:tcBorders>
              <w:top w:val="single" w:color="auto" w:sz="6" w:space="0"/>
              <w:left w:val="single" w:color="auto" w:sz="6" w:space="0"/>
              <w:bottom w:val="single" w:color="auto" w:sz="6" w:space="0"/>
              <w:right w:val="single" w:color="auto" w:sz="6" w:space="0"/>
            </w:tcBorders>
            <w:vAlign w:val="center"/>
          </w:tcPr>
          <w:p w14:paraId="39100635">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采购文件规范要求</w:t>
            </w:r>
          </w:p>
        </w:tc>
        <w:tc>
          <w:tcPr>
            <w:tcW w:w="2000" w:type="dxa"/>
            <w:tcBorders>
              <w:top w:val="single" w:color="auto" w:sz="6" w:space="0"/>
              <w:left w:val="single" w:color="auto" w:sz="6" w:space="0"/>
              <w:bottom w:val="single" w:color="auto" w:sz="6" w:space="0"/>
              <w:right w:val="single" w:color="auto" w:sz="6" w:space="0"/>
            </w:tcBorders>
            <w:vAlign w:val="center"/>
          </w:tcPr>
          <w:p w14:paraId="451D0B44">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投标文件</w:t>
            </w:r>
          </w:p>
          <w:p w14:paraId="093F5E75">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对应规范</w:t>
            </w:r>
          </w:p>
        </w:tc>
        <w:tc>
          <w:tcPr>
            <w:tcW w:w="2800" w:type="dxa"/>
            <w:tcBorders>
              <w:top w:val="single" w:color="auto" w:sz="6" w:space="0"/>
              <w:left w:val="single" w:color="auto" w:sz="6" w:space="0"/>
              <w:bottom w:val="single" w:color="auto" w:sz="6" w:space="0"/>
              <w:right w:val="single" w:color="auto" w:sz="6" w:space="0"/>
            </w:tcBorders>
            <w:vAlign w:val="center"/>
          </w:tcPr>
          <w:p w14:paraId="76142FD0">
            <w:pPr>
              <w:wordWrap w:val="0"/>
              <w:autoSpaceDE w:val="0"/>
              <w:autoSpaceDN w:val="0"/>
              <w:adjustRightInd w:val="0"/>
              <w:spacing w:line="360" w:lineRule="auto"/>
              <w:jc w:val="center"/>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备 注</w:t>
            </w:r>
          </w:p>
        </w:tc>
      </w:tr>
      <w:tr w14:paraId="212D19D9">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28701B00">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699B65E6">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31DD902C">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7F833C0F">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6FB6F2F2">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0A6F8E40">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0E7C9588">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0AF3B376">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1677F930">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0D8F9799">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6F4BBE41">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18A77B35">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98577C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519CF474">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49304CCF">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63F0C2F7">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7C0A613E">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79FC20B3">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3A4C90DF">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139287BF">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770F0061">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757DF2CC">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0A82BDDA">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49AAF52E">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646779FC">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141CF318">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4AB00E1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23284019">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79479D3F">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r w14:paraId="63F3AA57">
        <w:tblPrEx>
          <w:tblCellMar>
            <w:top w:w="0" w:type="dxa"/>
            <w:left w:w="108" w:type="dxa"/>
            <w:bottom w:w="0" w:type="dxa"/>
            <w:right w:w="108" w:type="dxa"/>
          </w:tblCellMar>
        </w:tblPrEx>
        <w:tc>
          <w:tcPr>
            <w:tcW w:w="900" w:type="dxa"/>
            <w:tcBorders>
              <w:top w:val="single" w:color="auto" w:sz="6" w:space="0"/>
              <w:left w:val="single" w:color="auto" w:sz="6" w:space="0"/>
              <w:bottom w:val="single" w:color="auto" w:sz="6" w:space="0"/>
              <w:right w:val="single" w:color="auto" w:sz="6" w:space="0"/>
            </w:tcBorders>
          </w:tcPr>
          <w:p w14:paraId="77C9208A">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1800" w:type="dxa"/>
            <w:tcBorders>
              <w:top w:val="single" w:color="auto" w:sz="6" w:space="0"/>
              <w:left w:val="single" w:color="auto" w:sz="6" w:space="0"/>
              <w:bottom w:val="single" w:color="auto" w:sz="6" w:space="0"/>
              <w:right w:val="single" w:color="auto" w:sz="6" w:space="0"/>
            </w:tcBorders>
          </w:tcPr>
          <w:p w14:paraId="1F8BB220">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300" w:type="dxa"/>
            <w:tcBorders>
              <w:top w:val="single" w:color="auto" w:sz="6" w:space="0"/>
              <w:left w:val="single" w:color="auto" w:sz="6" w:space="0"/>
              <w:bottom w:val="single" w:color="auto" w:sz="6" w:space="0"/>
              <w:right w:val="single" w:color="auto" w:sz="6" w:space="0"/>
            </w:tcBorders>
          </w:tcPr>
          <w:p w14:paraId="384B2E9D">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000" w:type="dxa"/>
            <w:tcBorders>
              <w:top w:val="single" w:color="auto" w:sz="6" w:space="0"/>
              <w:left w:val="single" w:color="auto" w:sz="6" w:space="0"/>
              <w:bottom w:val="single" w:color="auto" w:sz="6" w:space="0"/>
              <w:right w:val="single" w:color="auto" w:sz="6" w:space="0"/>
            </w:tcBorders>
          </w:tcPr>
          <w:p w14:paraId="043EC892">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c>
          <w:tcPr>
            <w:tcW w:w="2800" w:type="dxa"/>
            <w:tcBorders>
              <w:top w:val="single" w:color="auto" w:sz="6" w:space="0"/>
              <w:left w:val="single" w:color="auto" w:sz="6" w:space="0"/>
              <w:bottom w:val="single" w:color="auto" w:sz="6" w:space="0"/>
              <w:right w:val="single" w:color="auto" w:sz="6" w:space="0"/>
            </w:tcBorders>
          </w:tcPr>
          <w:p w14:paraId="1CB4936B">
            <w:pPr>
              <w:wordWrap w:val="0"/>
              <w:autoSpaceDE w:val="0"/>
              <w:autoSpaceDN w:val="0"/>
              <w:adjustRightInd w:val="0"/>
              <w:spacing w:line="360" w:lineRule="auto"/>
              <w:jc w:val="center"/>
              <w:rPr>
                <w:rFonts w:hint="eastAsia" w:ascii="宋体" w:hAnsi="宋体" w:eastAsia="宋体" w:cs="宋体"/>
                <w:b/>
                <w:color w:val="auto"/>
                <w:highlight w:val="none"/>
                <w:lang w:val="zh-CN"/>
              </w:rPr>
            </w:pPr>
          </w:p>
        </w:tc>
      </w:tr>
    </w:tbl>
    <w:p w14:paraId="3AC1915A">
      <w:pPr>
        <w:wordWrap w:val="0"/>
        <w:autoSpaceDE w:val="0"/>
        <w:autoSpaceDN w:val="0"/>
        <w:adjustRightInd w:val="0"/>
        <w:spacing w:line="360" w:lineRule="auto"/>
        <w:rPr>
          <w:rFonts w:hint="eastAsia" w:ascii="宋体" w:hAnsi="宋体" w:eastAsia="宋体" w:cs="宋体"/>
          <w:b/>
          <w:color w:val="auto"/>
          <w:highlight w:val="none"/>
          <w:lang w:val="zh-CN"/>
        </w:rPr>
      </w:pPr>
      <w:r>
        <w:rPr>
          <w:rFonts w:hint="eastAsia" w:ascii="宋体" w:hAnsi="宋体" w:eastAsia="宋体" w:cs="宋体"/>
          <w:b/>
          <w:color w:val="auto"/>
          <w:highlight w:val="none"/>
          <w:lang w:val="zh-CN"/>
        </w:rPr>
        <w:t>供应商盖章：</w:t>
      </w:r>
      <w:r>
        <w:rPr>
          <w:rFonts w:hint="eastAsia" w:ascii="宋体" w:hAnsi="宋体" w:eastAsia="宋体" w:cs="宋体"/>
          <w:b/>
          <w:color w:val="auto"/>
          <w:highlight w:val="none"/>
          <w:u w:val="single"/>
          <w:lang w:val="zh-CN"/>
        </w:rPr>
        <w:t xml:space="preserve">               </w:t>
      </w:r>
    </w:p>
    <w:p w14:paraId="56F9CCE8">
      <w:pPr>
        <w:wordWrap w:val="0"/>
        <w:autoSpaceDE w:val="0"/>
        <w:autoSpaceDN w:val="0"/>
        <w:adjustRightInd w:val="0"/>
        <w:spacing w:line="360" w:lineRule="auto"/>
        <w:rPr>
          <w:rFonts w:hint="eastAsia" w:ascii="宋体" w:hAnsi="宋体" w:eastAsia="宋体" w:cs="宋体"/>
          <w:b/>
          <w:color w:val="auto"/>
          <w:sz w:val="32"/>
          <w:highlight w:val="none"/>
        </w:rPr>
      </w:pPr>
    </w:p>
    <w:p w14:paraId="5F96F9A7">
      <w:pPr>
        <w:wordWrap w:val="0"/>
        <w:spacing w:line="360" w:lineRule="auto"/>
        <w:rPr>
          <w:rFonts w:hint="eastAsia" w:ascii="宋体" w:hAnsi="宋体" w:eastAsia="宋体" w:cs="宋体"/>
          <w:color w:val="auto"/>
          <w:highlight w:val="none"/>
        </w:rPr>
        <w:sectPr>
          <w:headerReference r:id="rId9" w:type="default"/>
          <w:footerReference r:id="rId10" w:type="default"/>
          <w:pgSz w:w="11906" w:h="16838"/>
          <w:pgMar w:top="1440" w:right="1361" w:bottom="1440" w:left="1361" w:header="851" w:footer="992" w:gutter="0"/>
          <w:cols w:space="720" w:num="1"/>
          <w:docGrid w:linePitch="312" w:charSpace="0"/>
        </w:sectPr>
      </w:pPr>
    </w:p>
    <w:p w14:paraId="3E59F9E2">
      <w:pPr>
        <w:wordWrap w:val="0"/>
        <w:spacing w:line="360" w:lineRule="auto"/>
        <w:rPr>
          <w:rFonts w:hint="eastAsia" w:ascii="宋体" w:hAnsi="宋体" w:eastAsia="宋体" w:cs="宋体"/>
          <w:b/>
          <w:color w:val="auto"/>
          <w:sz w:val="32"/>
          <w:highlight w:val="none"/>
          <w:lang w:val="zh-CN"/>
        </w:rPr>
      </w:pPr>
      <w:r>
        <w:rPr>
          <w:rFonts w:hint="eastAsia" w:ascii="宋体" w:hAnsi="宋体" w:eastAsia="宋体" w:cs="宋体"/>
          <w:b/>
          <w:color w:val="auto"/>
          <w:sz w:val="32"/>
          <w:highlight w:val="none"/>
        </w:rPr>
        <w:t>3.</w:t>
      </w:r>
      <w:r>
        <w:rPr>
          <w:rFonts w:hint="eastAsia" w:ascii="宋体" w:hAnsi="宋体" w:eastAsia="宋体" w:cs="宋体"/>
          <w:b/>
          <w:color w:val="auto"/>
          <w:sz w:val="32"/>
          <w:highlight w:val="none"/>
          <w:lang w:val="en-US" w:eastAsia="zh-CN"/>
        </w:rPr>
        <w:t>8</w:t>
      </w:r>
      <w:r>
        <w:rPr>
          <w:rFonts w:hint="eastAsia" w:ascii="宋体" w:hAnsi="宋体" w:eastAsia="宋体" w:cs="宋体"/>
          <w:b/>
          <w:color w:val="auto"/>
          <w:sz w:val="32"/>
          <w:highlight w:val="none"/>
        </w:rPr>
        <w:t>项目组织实施方案（供应商根据评分细则自行自拟）</w:t>
      </w:r>
      <w:r>
        <w:rPr>
          <w:rFonts w:hint="eastAsia" w:ascii="宋体" w:hAnsi="宋体" w:eastAsia="宋体" w:cs="宋体"/>
          <w:b/>
          <w:color w:val="auto"/>
          <w:sz w:val="32"/>
          <w:highlight w:val="none"/>
          <w:lang w:val="zh-CN"/>
        </w:rPr>
        <w:br w:type="page"/>
      </w:r>
      <w:r>
        <w:rPr>
          <w:rFonts w:hint="eastAsia" w:ascii="宋体" w:hAnsi="宋体" w:eastAsia="宋体" w:cs="宋体"/>
          <w:b/>
          <w:color w:val="auto"/>
          <w:sz w:val="32"/>
          <w:highlight w:val="none"/>
          <w:lang w:val="zh-CN"/>
        </w:rPr>
        <w:t>3.</w:t>
      </w:r>
      <w:r>
        <w:rPr>
          <w:rFonts w:hint="eastAsia" w:ascii="宋体" w:hAnsi="宋体" w:eastAsia="宋体" w:cs="宋体"/>
          <w:b/>
          <w:color w:val="auto"/>
          <w:sz w:val="32"/>
          <w:highlight w:val="none"/>
          <w:lang w:val="en-US" w:eastAsia="zh-CN"/>
        </w:rPr>
        <w:t>9</w:t>
      </w:r>
      <w:r>
        <w:rPr>
          <w:rFonts w:hint="eastAsia" w:ascii="宋体" w:hAnsi="宋体" w:eastAsia="宋体" w:cs="宋体"/>
          <w:b/>
          <w:color w:val="auto"/>
          <w:sz w:val="32"/>
          <w:highlight w:val="none"/>
          <w:lang w:val="zh-CN"/>
        </w:rPr>
        <w:t>供应商认为有必要提供的其他材料或说明（如有）</w:t>
      </w:r>
    </w:p>
    <w:p w14:paraId="6247BEE2">
      <w:pPr>
        <w:pStyle w:val="5"/>
        <w:wordWrap w:val="0"/>
        <w:spacing w:before="0" w:after="0" w:line="360" w:lineRule="auto"/>
        <w:rPr>
          <w:rFonts w:hint="eastAsia" w:ascii="宋体" w:hAnsi="宋体" w:eastAsia="宋体" w:cs="宋体"/>
          <w:color w:val="auto"/>
          <w:highlight w:val="none"/>
        </w:rPr>
      </w:pPr>
    </w:p>
    <w:p w14:paraId="4ED7B7BC">
      <w:pPr>
        <w:wordWrap w:val="0"/>
        <w:spacing w:line="360" w:lineRule="auto"/>
        <w:jc w:val="center"/>
        <w:outlineLvl w:val="1"/>
        <w:rPr>
          <w:rFonts w:hint="eastAsia" w:ascii="宋体" w:hAnsi="宋体" w:eastAsia="宋体" w:cs="宋体"/>
          <w:b/>
          <w:color w:val="auto"/>
          <w:sz w:val="40"/>
          <w:highlight w:val="none"/>
        </w:rPr>
      </w:pPr>
      <w:bookmarkStart w:id="129" w:name="_Toc9171"/>
      <w:bookmarkStart w:id="130" w:name="_Toc19371"/>
      <w:bookmarkStart w:id="131" w:name="_Toc3954"/>
      <w:bookmarkStart w:id="132" w:name="_Toc15594"/>
      <w:bookmarkStart w:id="133" w:name="_Toc5823"/>
      <w:r>
        <w:rPr>
          <w:rFonts w:hint="eastAsia" w:ascii="宋体" w:hAnsi="宋体" w:eastAsia="宋体" w:cs="宋体"/>
          <w:b/>
          <w:color w:val="auto"/>
          <w:sz w:val="40"/>
          <w:highlight w:val="none"/>
        </w:rPr>
        <w:t>供应商认为有必要提供的其他材料或说明</w:t>
      </w:r>
      <w:bookmarkEnd w:id="129"/>
      <w:bookmarkEnd w:id="130"/>
      <w:bookmarkEnd w:id="131"/>
      <w:bookmarkEnd w:id="132"/>
      <w:bookmarkEnd w:id="133"/>
    </w:p>
    <w:p w14:paraId="709C0D58">
      <w:pPr>
        <w:wordWrap w:val="0"/>
        <w:spacing w:line="360" w:lineRule="auto"/>
        <w:rPr>
          <w:rFonts w:hint="eastAsia" w:ascii="宋体" w:hAnsi="宋体" w:eastAsia="宋体" w:cs="宋体"/>
          <w:b/>
          <w:color w:val="auto"/>
          <w:szCs w:val="22"/>
          <w:highlight w:val="none"/>
          <w:u w:val="single"/>
          <w:lang w:eastAsia="zh-CN"/>
        </w:rPr>
      </w:pPr>
      <w:r>
        <w:rPr>
          <w:rFonts w:hint="eastAsia" w:ascii="宋体" w:hAnsi="宋体" w:eastAsia="宋体" w:cs="宋体"/>
          <w:b/>
          <w:color w:val="auto"/>
          <w:szCs w:val="22"/>
          <w:highlight w:val="none"/>
        </w:rPr>
        <w:t>项目名称</w:t>
      </w:r>
      <w:r>
        <w:rPr>
          <w:rFonts w:hint="eastAsia" w:ascii="宋体" w:hAnsi="宋体" w:eastAsia="宋体" w:cs="宋体"/>
          <w:b/>
          <w:color w:val="auto"/>
          <w:szCs w:val="22"/>
          <w:highlight w:val="none"/>
          <w:lang w:eastAsia="zh-CN"/>
        </w:rPr>
        <w:t>：</w:t>
      </w:r>
      <w:r>
        <w:rPr>
          <w:rFonts w:hint="eastAsia" w:ascii="宋体" w:hAnsi="宋体" w:cs="宋体"/>
          <w:b/>
          <w:color w:val="auto"/>
          <w:szCs w:val="22"/>
          <w:highlight w:val="none"/>
          <w:u w:val="single"/>
          <w:lang w:eastAsia="zh-CN"/>
        </w:rPr>
        <w:t>2026年度采购雁荡山君澜度假酒店液化天然气（LNG）、运输及天然气站维护服务采购</w:t>
      </w:r>
    </w:p>
    <w:p w14:paraId="6FBDEC4D">
      <w:pPr>
        <w:wordWrap w:val="0"/>
        <w:spacing w:line="360" w:lineRule="auto"/>
        <w:rPr>
          <w:rFonts w:hint="eastAsia" w:ascii="宋体" w:hAnsi="宋体" w:eastAsia="宋体" w:cs="宋体"/>
          <w:b/>
          <w:color w:val="auto"/>
          <w:highlight w:val="none"/>
          <w:u w:val="single"/>
          <w:lang w:eastAsia="zh-CN"/>
        </w:rPr>
      </w:pPr>
      <w:r>
        <w:rPr>
          <w:rFonts w:hint="eastAsia" w:ascii="宋体" w:hAnsi="宋体" w:eastAsia="宋体" w:cs="宋体"/>
          <w:b/>
          <w:color w:val="auto"/>
          <w:szCs w:val="22"/>
          <w:highlight w:val="none"/>
        </w:rPr>
        <w:t>项目编号</w:t>
      </w:r>
      <w:r>
        <w:rPr>
          <w:rFonts w:hint="eastAsia" w:ascii="宋体" w:hAnsi="宋体" w:eastAsia="宋体" w:cs="宋体"/>
          <w:b/>
          <w:color w:val="auto"/>
          <w:szCs w:val="22"/>
          <w:highlight w:val="none"/>
          <w:lang w:eastAsia="zh-CN"/>
        </w:rPr>
        <w:t>：</w:t>
      </w:r>
      <w:r>
        <w:rPr>
          <w:rFonts w:hint="eastAsia" w:ascii="宋体" w:hAnsi="宋体" w:eastAsia="宋体" w:cs="宋体"/>
          <w:b/>
          <w:color w:val="auto"/>
          <w:szCs w:val="22"/>
          <w:highlight w:val="none"/>
          <w:u w:val="single"/>
        </w:rPr>
        <w:t xml:space="preserve"> </w:t>
      </w:r>
      <w:r>
        <w:rPr>
          <w:rFonts w:hint="eastAsia" w:ascii="宋体" w:hAnsi="宋体" w:cs="宋体"/>
          <w:b/>
          <w:color w:val="auto"/>
          <w:szCs w:val="22"/>
          <w:highlight w:val="none"/>
          <w:u w:val="single"/>
          <w:lang w:eastAsia="zh-CN"/>
        </w:rPr>
        <w:t>PYCG260608076</w:t>
      </w:r>
    </w:p>
    <w:tbl>
      <w:tblPr>
        <w:tblStyle w:val="28"/>
        <w:tblW w:w="0" w:type="auto"/>
        <w:tblInd w:w="0" w:type="dxa"/>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Layout w:type="fixed"/>
        <w:tblCellMar>
          <w:top w:w="0" w:type="dxa"/>
          <w:left w:w="108" w:type="dxa"/>
          <w:bottom w:w="0" w:type="dxa"/>
          <w:right w:w="108" w:type="dxa"/>
        </w:tblCellMar>
      </w:tblPr>
      <w:tblGrid>
        <w:gridCol w:w="9145"/>
      </w:tblGrid>
      <w:tr w14:paraId="1EBEC79D">
        <w:tblPrEx>
          <w:tblBorders>
            <w:top w:val="dotDash" w:color="D9D9D9" w:sz="4" w:space="0"/>
            <w:left w:val="dotDash" w:color="D9D9D9" w:sz="4" w:space="0"/>
            <w:bottom w:val="dotDash" w:color="D9D9D9" w:sz="4" w:space="0"/>
            <w:right w:val="dotDash" w:color="D9D9D9" w:sz="4" w:space="0"/>
            <w:insideH w:val="dotDash" w:color="D9D9D9" w:sz="4" w:space="0"/>
            <w:insideV w:val="dotDash" w:color="D9D9D9" w:sz="4" w:space="0"/>
          </w:tblBorders>
          <w:tblCellMar>
            <w:top w:w="0" w:type="dxa"/>
            <w:left w:w="108" w:type="dxa"/>
            <w:bottom w:w="0" w:type="dxa"/>
            <w:right w:w="108" w:type="dxa"/>
          </w:tblCellMar>
        </w:tblPrEx>
        <w:trPr>
          <w:trHeight w:val="7655" w:hRule="atLeast"/>
        </w:trPr>
        <w:tc>
          <w:tcPr>
            <w:tcW w:w="9145" w:type="dxa"/>
          </w:tcPr>
          <w:p w14:paraId="780CC44F">
            <w:pPr>
              <w:wordWrap w:val="0"/>
              <w:spacing w:line="360" w:lineRule="auto"/>
              <w:rPr>
                <w:rFonts w:hint="eastAsia" w:ascii="宋体" w:hAnsi="宋体" w:eastAsia="宋体" w:cs="宋体"/>
                <w:color w:val="auto"/>
                <w:szCs w:val="21"/>
                <w:highlight w:val="none"/>
              </w:rPr>
            </w:pPr>
          </w:p>
        </w:tc>
      </w:tr>
    </w:tbl>
    <w:p w14:paraId="156C3A7D">
      <w:pPr>
        <w:wordWrap w:val="0"/>
        <w:snapToGrid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供应商名称（盖章）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____________________________________________</w:t>
      </w:r>
    </w:p>
    <w:p w14:paraId="4959D8AF">
      <w:pPr>
        <w:wordWrap w:val="0"/>
        <w:snapToGrid w:val="0"/>
        <w:spacing w:line="360" w:lineRule="auto"/>
        <w:rPr>
          <w:rFonts w:hint="eastAsia" w:ascii="宋体" w:hAnsi="宋体" w:eastAsia="宋体" w:cs="宋体"/>
          <w:color w:val="auto"/>
          <w:highlight w:val="none"/>
          <w:u w:val="single"/>
        </w:rPr>
      </w:pPr>
      <w:r>
        <w:rPr>
          <w:rFonts w:hint="eastAsia" w:ascii="宋体" w:hAnsi="宋体" w:eastAsia="宋体" w:cs="宋体"/>
          <w:color w:val="auto"/>
          <w:highlight w:val="none"/>
        </w:rPr>
        <w:t>法定代表人或其授权代表（签字或盖章）</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____________________________</w:t>
      </w:r>
    </w:p>
    <w:p w14:paraId="1FFB4A3A">
      <w:pPr>
        <w:wordWrap w:val="0"/>
        <w:spacing w:line="360" w:lineRule="auto"/>
        <w:rPr>
          <w:rFonts w:hint="eastAsia" w:ascii="宋体" w:hAnsi="宋体" w:eastAsia="宋体" w:cs="宋体"/>
          <w:color w:val="auto"/>
          <w:szCs w:val="21"/>
          <w:highlight w:val="none"/>
          <w:u w:val="single"/>
        </w:rPr>
      </w:pPr>
      <w:r>
        <w:rPr>
          <w:rFonts w:hint="eastAsia" w:ascii="宋体" w:hAnsi="宋体" w:eastAsia="宋体" w:cs="宋体"/>
          <w:color w:val="auto"/>
          <w:highlight w:val="none"/>
        </w:rPr>
        <w:t>日期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________年____月____日</w:t>
      </w:r>
    </w:p>
    <w:p w14:paraId="60D1721B">
      <w:pPr>
        <w:tabs>
          <w:tab w:val="left" w:pos="1575"/>
        </w:tabs>
        <w:wordWrap w:val="0"/>
        <w:adjustRightInd w:val="0"/>
        <w:snapToGrid w:val="0"/>
        <w:spacing w:line="360" w:lineRule="auto"/>
        <w:jc w:val="center"/>
        <w:rPr>
          <w:rFonts w:hint="eastAsia" w:ascii="宋体" w:hAnsi="宋体" w:eastAsia="宋体" w:cs="宋体"/>
          <w:b/>
          <w:color w:val="auto"/>
          <w:sz w:val="36"/>
          <w:szCs w:val="36"/>
          <w:highlight w:val="none"/>
        </w:rPr>
      </w:pPr>
    </w:p>
    <w:p w14:paraId="45D688D5">
      <w:pPr>
        <w:pStyle w:val="10"/>
        <w:wordWrap w:val="0"/>
        <w:spacing w:after="0" w:line="360" w:lineRule="auto"/>
        <w:ind w:firstLine="361"/>
        <w:rPr>
          <w:rFonts w:hint="eastAsia" w:ascii="宋体" w:hAnsi="宋体" w:eastAsia="宋体" w:cs="宋体"/>
          <w:b/>
          <w:color w:val="auto"/>
          <w:sz w:val="36"/>
          <w:szCs w:val="36"/>
          <w:highlight w:val="none"/>
        </w:rPr>
      </w:pPr>
    </w:p>
    <w:p w14:paraId="14B51864">
      <w:pPr>
        <w:pStyle w:val="11"/>
        <w:wordWrap w:val="0"/>
        <w:spacing w:line="360" w:lineRule="auto"/>
        <w:rPr>
          <w:rFonts w:hint="eastAsia" w:ascii="宋体" w:hAnsi="宋体" w:eastAsia="宋体" w:cs="宋体"/>
          <w:color w:val="auto"/>
          <w:highlight w:val="none"/>
        </w:rPr>
      </w:pPr>
    </w:p>
    <w:p w14:paraId="43CF49F1">
      <w:pPr>
        <w:tabs>
          <w:tab w:val="left" w:pos="1575"/>
        </w:tabs>
        <w:wordWrap w:val="0"/>
        <w:adjustRightInd w:val="0"/>
        <w:snapToGrid w:val="0"/>
        <w:spacing w:line="360" w:lineRule="auto"/>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br w:type="page"/>
      </w:r>
      <w:r>
        <w:rPr>
          <w:rFonts w:hint="eastAsia" w:ascii="宋体" w:hAnsi="宋体" w:eastAsia="宋体" w:cs="宋体"/>
          <w:b/>
          <w:color w:val="auto"/>
          <w:sz w:val="36"/>
          <w:szCs w:val="36"/>
          <w:highlight w:val="none"/>
        </w:rPr>
        <w:t>质量服务承诺书</w:t>
      </w:r>
    </w:p>
    <w:p w14:paraId="198FBF4D">
      <w:pPr>
        <w:wordWrap w:val="0"/>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（采购人）:</w:t>
      </w:r>
    </w:p>
    <w:p w14:paraId="7C1A9E30">
      <w:pP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（供应商）对</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（项目名称）项目做出如下承诺。</w:t>
      </w:r>
    </w:p>
    <w:p w14:paraId="2E82FDC0">
      <w:pPr>
        <w:wordWrap w:val="0"/>
        <w:spacing w:line="360" w:lineRule="auto"/>
        <w:rPr>
          <w:rFonts w:hint="eastAsia" w:ascii="宋体" w:hAnsi="宋体" w:eastAsia="宋体" w:cs="宋体"/>
          <w:color w:val="auto"/>
          <w:highlight w:val="none"/>
          <w:lang w:eastAsia="zh-CN"/>
        </w:rPr>
      </w:pPr>
      <w:r>
        <w:rPr>
          <w:rFonts w:hint="eastAsia" w:ascii="宋体" w:hAnsi="宋体" w:eastAsia="宋体" w:cs="宋体"/>
          <w:color w:val="auto"/>
          <w:highlight w:val="none"/>
        </w:rPr>
        <w:t xml:space="preserve">    如果我公司有幸成为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（项目名称）项目的</w:t>
      </w:r>
      <w:r>
        <w:rPr>
          <w:rFonts w:hint="eastAsia" w:ascii="宋体" w:hAnsi="宋体" w:eastAsia="宋体" w:cs="宋体"/>
          <w:color w:val="auto"/>
          <w:highlight w:val="none"/>
          <w:lang w:eastAsia="zh-CN"/>
        </w:rPr>
        <w:t>中标供应商</w:t>
      </w:r>
      <w:r>
        <w:rPr>
          <w:rFonts w:hint="eastAsia" w:ascii="宋体" w:hAnsi="宋体" w:eastAsia="宋体" w:cs="宋体"/>
          <w:color w:val="auto"/>
          <w:highlight w:val="none"/>
        </w:rPr>
        <w:t>，将作出以下承诺</w:t>
      </w:r>
      <w:r>
        <w:rPr>
          <w:rFonts w:hint="eastAsia" w:ascii="宋体" w:hAnsi="宋体" w:eastAsia="宋体" w:cs="宋体"/>
          <w:color w:val="auto"/>
          <w:highlight w:val="none"/>
          <w:lang w:eastAsia="zh-CN"/>
        </w:rPr>
        <w:t>：</w:t>
      </w:r>
    </w:p>
    <w:p w14:paraId="09B80F1B">
      <w:pPr>
        <w:wordWrap w:val="0"/>
        <w:spacing w:line="360" w:lineRule="auto"/>
        <w:ind w:firstLine="420" w:firstLineChars="200"/>
        <w:rPr>
          <w:rFonts w:hint="eastAsia" w:ascii="宋体" w:hAnsi="宋体" w:eastAsia="宋体" w:cs="宋体"/>
          <w:color w:val="auto"/>
          <w:highlight w:val="none"/>
        </w:rPr>
      </w:pPr>
    </w:p>
    <w:p w14:paraId="1E539387">
      <w:pP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一、本公司所提供的服务均符合法律法规以及行业相关质量标准；</w:t>
      </w:r>
    </w:p>
    <w:p w14:paraId="7E99FC46">
      <w:pPr>
        <w:wordWrap w:val="0"/>
        <w:spacing w:line="360" w:lineRule="auto"/>
        <w:rPr>
          <w:rFonts w:hint="eastAsia" w:ascii="宋体" w:hAnsi="宋体" w:eastAsia="宋体" w:cs="宋体"/>
          <w:color w:val="auto"/>
          <w:highlight w:val="none"/>
        </w:rPr>
      </w:pPr>
    </w:p>
    <w:p w14:paraId="76934736">
      <w:pP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二、在采购文件要求的质保期内，无条件服务直至满足使用方的项目使用需求；</w:t>
      </w:r>
    </w:p>
    <w:p w14:paraId="6FCDA2EE">
      <w:pPr>
        <w:wordWrap w:val="0"/>
        <w:spacing w:line="360" w:lineRule="auto"/>
        <w:rPr>
          <w:rFonts w:hint="eastAsia" w:ascii="宋体" w:hAnsi="宋体" w:eastAsia="宋体" w:cs="宋体"/>
          <w:color w:val="auto"/>
          <w:highlight w:val="none"/>
        </w:rPr>
      </w:pPr>
    </w:p>
    <w:p w14:paraId="5A060F48">
      <w:pPr>
        <w:wordWrap w:val="0"/>
        <w:spacing w:line="360" w:lineRule="auto"/>
        <w:ind w:firstLine="420" w:firstLineChars="200"/>
        <w:rPr>
          <w:rFonts w:hint="eastAsia" w:ascii="宋体" w:hAnsi="宋体" w:eastAsia="宋体" w:cs="宋体"/>
          <w:color w:val="auto"/>
          <w:highlight w:val="none"/>
        </w:rPr>
      </w:pPr>
      <w:r>
        <w:rPr>
          <w:rFonts w:hint="eastAsia" w:ascii="宋体" w:hAnsi="宋体" w:eastAsia="宋体" w:cs="宋体"/>
          <w:color w:val="auto"/>
          <w:highlight w:val="none"/>
        </w:rPr>
        <w:t>本承诺书自开标日起至招标方与中标方合同结束之日均有效。</w:t>
      </w:r>
    </w:p>
    <w:p w14:paraId="22411857">
      <w:pPr>
        <w:wordWrap w:val="0"/>
        <w:spacing w:line="360" w:lineRule="auto"/>
        <w:ind w:firstLine="420" w:firstLineChars="200"/>
        <w:rPr>
          <w:rFonts w:hint="eastAsia" w:ascii="宋体" w:hAnsi="宋体" w:eastAsia="宋体" w:cs="宋体"/>
          <w:color w:val="auto"/>
          <w:highlight w:val="none"/>
        </w:rPr>
      </w:pPr>
    </w:p>
    <w:p w14:paraId="1898921D">
      <w:pPr>
        <w:wordWrap w:val="0"/>
        <w:spacing w:line="360" w:lineRule="auto"/>
        <w:ind w:firstLine="420" w:firstLineChars="200"/>
        <w:rPr>
          <w:rFonts w:hint="eastAsia" w:ascii="宋体" w:hAnsi="宋体" w:eastAsia="宋体" w:cs="宋体"/>
          <w:color w:val="auto"/>
          <w:highlight w:val="none"/>
        </w:rPr>
      </w:pPr>
    </w:p>
    <w:p w14:paraId="65B93C1B">
      <w:pPr>
        <w:wordWrap w:val="0"/>
        <w:spacing w:line="360" w:lineRule="auto"/>
        <w:ind w:firstLine="420" w:firstLineChars="200"/>
        <w:rPr>
          <w:rFonts w:hint="eastAsia" w:ascii="宋体" w:hAnsi="宋体" w:eastAsia="宋体" w:cs="宋体"/>
          <w:color w:val="auto"/>
          <w:highlight w:val="none"/>
        </w:rPr>
      </w:pPr>
    </w:p>
    <w:p w14:paraId="74C3D237">
      <w:pPr>
        <w:wordWrap w:val="0"/>
        <w:spacing w:line="360" w:lineRule="auto"/>
        <w:ind w:firstLine="420" w:firstLineChars="200"/>
        <w:rPr>
          <w:rFonts w:hint="eastAsia" w:ascii="宋体" w:hAnsi="宋体" w:eastAsia="宋体" w:cs="宋体"/>
          <w:color w:val="auto"/>
          <w:highlight w:val="none"/>
        </w:rPr>
      </w:pPr>
    </w:p>
    <w:p w14:paraId="3123ACF1">
      <w:pPr>
        <w:wordWrap w:val="0"/>
        <w:snapToGrid w:val="0"/>
        <w:spacing w:line="360" w:lineRule="auto"/>
        <w:ind w:right="480"/>
        <w:rPr>
          <w:rFonts w:hint="eastAsia" w:ascii="宋体" w:hAnsi="宋体" w:eastAsia="宋体" w:cs="宋体"/>
          <w:color w:val="auto"/>
          <w:highlight w:val="none"/>
        </w:rPr>
      </w:pPr>
      <w:r>
        <w:rPr>
          <w:rFonts w:hint="eastAsia" w:ascii="宋体" w:hAnsi="宋体" w:eastAsia="宋体" w:cs="宋体"/>
          <w:color w:val="auto"/>
          <w:highlight w:val="none"/>
        </w:rPr>
        <w:t>地址</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r>
        <w:rPr>
          <w:rFonts w:hint="eastAsia" w:ascii="宋体" w:hAnsi="宋体" w:eastAsia="宋体" w:cs="宋体"/>
          <w:color w:val="auto"/>
          <w:highlight w:val="none"/>
        </w:rPr>
        <w:t>　　　　　邮编</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p>
    <w:p w14:paraId="0044D876">
      <w:pPr>
        <w:wordWrap w:val="0"/>
        <w:snapToGrid w:val="0"/>
        <w:spacing w:line="360" w:lineRule="auto"/>
        <w:ind w:right="480"/>
        <w:rPr>
          <w:rFonts w:hint="eastAsia" w:ascii="宋体" w:hAnsi="宋体" w:eastAsia="宋体" w:cs="宋体"/>
          <w:color w:val="auto"/>
          <w:highlight w:val="none"/>
        </w:rPr>
      </w:pPr>
      <w:r>
        <w:rPr>
          <w:rFonts w:hint="eastAsia" w:ascii="宋体" w:hAnsi="宋体" w:eastAsia="宋体" w:cs="宋体"/>
          <w:color w:val="auto"/>
          <w:highlight w:val="none"/>
        </w:rPr>
        <w:t>电话</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r>
        <w:rPr>
          <w:rFonts w:hint="eastAsia" w:ascii="宋体" w:hAnsi="宋体" w:eastAsia="宋体" w:cs="宋体"/>
          <w:color w:val="auto"/>
          <w:highlight w:val="none"/>
        </w:rPr>
        <w:t>　　　传真</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r>
        <w:rPr>
          <w:rFonts w:hint="eastAsia" w:ascii="宋体" w:hAnsi="宋体" w:eastAsia="宋体" w:cs="宋体"/>
          <w:color w:val="auto"/>
          <w:highlight w:val="none"/>
        </w:rPr>
        <w:t>　　</w:t>
      </w:r>
    </w:p>
    <w:p w14:paraId="6B31EB77">
      <w:pPr>
        <w:wordWrap w:val="0"/>
        <w:snapToGrid w:val="0"/>
        <w:spacing w:line="360" w:lineRule="auto"/>
        <w:ind w:right="480"/>
        <w:rPr>
          <w:rFonts w:hint="eastAsia" w:ascii="宋体" w:hAnsi="宋体" w:eastAsia="宋体" w:cs="宋体"/>
          <w:color w:val="auto"/>
          <w:highlight w:val="none"/>
        </w:rPr>
      </w:pPr>
      <w:r>
        <w:rPr>
          <w:rFonts w:hint="eastAsia" w:ascii="宋体" w:hAnsi="宋体" w:eastAsia="宋体" w:cs="宋体"/>
          <w:color w:val="auto"/>
          <w:highlight w:val="none"/>
        </w:rPr>
        <w:t>供应商授权代表姓名职务</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r>
        <w:rPr>
          <w:rFonts w:hint="eastAsia" w:ascii="宋体" w:hAnsi="宋体" w:eastAsia="宋体" w:cs="宋体"/>
          <w:color w:val="auto"/>
          <w:highlight w:val="none"/>
        </w:rPr>
        <w:t>　　</w:t>
      </w:r>
    </w:p>
    <w:p w14:paraId="42768DAB">
      <w:pPr>
        <w:tabs>
          <w:tab w:val="left" w:pos="1260"/>
        </w:tabs>
        <w:wordWrap w:val="0"/>
        <w:spacing w:line="360" w:lineRule="auto"/>
        <w:ind w:right="480"/>
        <w:rPr>
          <w:rFonts w:hint="eastAsia" w:ascii="宋体" w:hAnsi="宋体" w:eastAsia="宋体" w:cs="宋体"/>
          <w:color w:val="auto"/>
          <w:highlight w:val="none"/>
          <w:u w:val="single"/>
        </w:rPr>
      </w:pPr>
      <w:r>
        <w:rPr>
          <w:rFonts w:hint="eastAsia" w:ascii="宋体" w:hAnsi="宋体" w:eastAsia="宋体" w:cs="宋体"/>
          <w:color w:val="auto"/>
          <w:highlight w:val="none"/>
        </w:rPr>
        <w:t>供应商名称（公章）</w:t>
      </w:r>
      <w:r>
        <w:rPr>
          <w:rFonts w:hint="eastAsia" w:ascii="宋体" w:hAnsi="宋体" w:eastAsia="宋体" w:cs="宋体"/>
          <w:color w:val="auto"/>
          <w:highlight w:val="none"/>
          <w:lang w:eastAsia="zh-CN"/>
        </w:rPr>
        <w:t>：</w:t>
      </w:r>
      <w:r>
        <w:rPr>
          <w:rFonts w:hint="eastAsia" w:ascii="宋体" w:hAnsi="宋体" w:eastAsia="宋体" w:cs="宋体"/>
          <w:color w:val="auto"/>
          <w:highlight w:val="none"/>
          <w:u w:val="single"/>
        </w:rPr>
        <w:t>　　　　　　</w:t>
      </w:r>
    </w:p>
    <w:p w14:paraId="50325F02">
      <w:pPr>
        <w:tabs>
          <w:tab w:val="left" w:pos="1260"/>
        </w:tabs>
        <w:wordWrap w:val="0"/>
        <w:spacing w:line="360" w:lineRule="auto"/>
        <w:ind w:right="480"/>
        <w:rPr>
          <w:rFonts w:hint="eastAsia" w:ascii="宋体" w:hAnsi="宋体" w:eastAsia="宋体" w:cs="宋体"/>
          <w:color w:val="auto"/>
          <w:highlight w:val="none"/>
          <w:lang w:eastAsia="zh-CN"/>
        </w:rPr>
      </w:pPr>
      <w:r>
        <w:rPr>
          <w:rFonts w:hint="eastAsia" w:ascii="宋体" w:hAnsi="宋体" w:eastAsia="宋体" w:cs="宋体"/>
          <w:color w:val="auto"/>
          <w:highlight w:val="none"/>
        </w:rPr>
        <w:t>法定代表人（负责人）或授权代表（签字或盖章）</w:t>
      </w:r>
      <w:r>
        <w:rPr>
          <w:rFonts w:hint="eastAsia" w:ascii="宋体" w:hAnsi="宋体" w:eastAsia="宋体" w:cs="宋体"/>
          <w:color w:val="auto"/>
          <w:highlight w:val="none"/>
          <w:lang w:eastAsia="zh-CN"/>
        </w:rPr>
        <w:t>：</w:t>
      </w:r>
    </w:p>
    <w:p w14:paraId="64DC4454">
      <w:pPr>
        <w:wordWrap w:val="0"/>
        <w:spacing w:line="360" w:lineRule="auto"/>
        <w:jc w:val="center"/>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br w:type="page"/>
      </w:r>
      <w:r>
        <w:rPr>
          <w:rFonts w:hint="eastAsia" w:ascii="宋体" w:hAnsi="宋体" w:eastAsia="宋体" w:cs="宋体"/>
          <w:b/>
          <w:color w:val="auto"/>
          <w:sz w:val="28"/>
          <w:szCs w:val="28"/>
          <w:highlight w:val="none"/>
        </w:rPr>
        <w:t>诚信投标承诺书</w:t>
      </w:r>
    </w:p>
    <w:p w14:paraId="0F1A199C">
      <w:pPr>
        <w:wordWrap w:val="0"/>
        <w:spacing w:line="360" w:lineRule="auto"/>
        <w:ind w:right="-153" w:rightChars="-73"/>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本企业郑重承诺</w:t>
      </w:r>
      <w:r>
        <w:rPr>
          <w:rFonts w:hint="eastAsia" w:ascii="宋体" w:hAnsi="宋体" w:eastAsia="宋体" w:cs="宋体"/>
          <w:color w:val="auto"/>
          <w:sz w:val="22"/>
          <w:szCs w:val="22"/>
          <w:highlight w:val="none"/>
          <w:lang w:eastAsia="zh-CN"/>
        </w:rPr>
        <w:t>：</w:t>
      </w:r>
    </w:p>
    <w:p w14:paraId="5F01F463">
      <w:pPr>
        <w:wordWrap w:val="0"/>
        <w:spacing w:line="360" w:lineRule="auto"/>
        <w:ind w:firstLine="440" w:firstLineChars="20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为了积极配合采购人组织的</w:t>
      </w:r>
      <w:r>
        <w:rPr>
          <w:rFonts w:hint="eastAsia" w:ascii="宋体" w:hAnsi="宋体" w:eastAsia="宋体" w:cs="宋体"/>
          <w:color w:val="auto"/>
          <w:sz w:val="22"/>
          <w:szCs w:val="22"/>
          <w:highlight w:val="none"/>
          <w:u w:val="single"/>
        </w:rPr>
        <w:t xml:space="preserve"> （项目名称） </w:t>
      </w:r>
      <w:r>
        <w:rPr>
          <w:rFonts w:hint="eastAsia" w:ascii="宋体" w:hAnsi="宋体" w:eastAsia="宋体" w:cs="宋体"/>
          <w:color w:val="auto"/>
          <w:sz w:val="22"/>
          <w:szCs w:val="22"/>
          <w:highlight w:val="none"/>
        </w:rPr>
        <w:t>招标工作，有效遏制不公平竞争和违规违纪问题的发生，确保招标工作的公平、公正、公开，我们保证认真贯彻《平阳县县属国有企业采购管理办法（试行）》等法律及有关法规相关规定以及有关廉洁要求，特承诺如下事项</w:t>
      </w:r>
      <w:r>
        <w:rPr>
          <w:rFonts w:hint="eastAsia" w:ascii="宋体" w:hAnsi="宋体" w:eastAsia="宋体" w:cs="宋体"/>
          <w:color w:val="auto"/>
          <w:sz w:val="22"/>
          <w:szCs w:val="22"/>
          <w:highlight w:val="none"/>
          <w:lang w:eastAsia="zh-CN"/>
        </w:rPr>
        <w:t>：</w:t>
      </w:r>
    </w:p>
    <w:p w14:paraId="274FCF56">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1、自觉遵守国家法律法规及有关廉政建设制度。</w:t>
      </w:r>
    </w:p>
    <w:p w14:paraId="23882F39">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2、主动了解采购人招投标纪律，积极配合采购人执行招投标廉政建设的有关规定。</w:t>
      </w:r>
    </w:p>
    <w:p w14:paraId="00D0D7AC">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3、不使用不正当手段妨碍、排挤其它供应商或串通投标。</w:t>
      </w:r>
    </w:p>
    <w:p w14:paraId="340B59CA">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4、按照本采购文件规定的方式进行投标，不隐瞒本单位投标资质的真实情况，投标资质符合规定。</w:t>
      </w:r>
    </w:p>
    <w:p w14:paraId="5D08569E">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5、不以任何方式向采购人员赠送礼品、礼金及有价证券；不宴请或邀请采购人的任何人参加高档娱乐消费、旅游、考察、参观等活动；不以任何形式报销采购人的任何人以及亲友的各种票据及费用；不进行可能影响招投标公平、公正的任何活动。</w:t>
      </w:r>
    </w:p>
    <w:p w14:paraId="28746EA2">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6、不向采购人及个人购置或提供通讯工具、交通工具和高档办公用品等。</w:t>
      </w:r>
    </w:p>
    <w:p w14:paraId="1DA60362">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7、不向采购人涉及招标的人员的配偶、子女分包此次招标项目。</w:t>
      </w:r>
    </w:p>
    <w:p w14:paraId="39144E76">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8、不向采购人及个人支付好处费、介绍费。</w:t>
      </w:r>
    </w:p>
    <w:p w14:paraId="1BAF8B64">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9、一旦发现相关人员在招标过程中的索要财物等不廉洁行为，坚决予以抵制，并及时向有关纪检监察部门举报。</w:t>
      </w:r>
    </w:p>
    <w:p w14:paraId="2703D192">
      <w:pPr>
        <w:wordWrap w:val="0"/>
        <w:snapToGrid w:val="0"/>
        <w:spacing w:line="360" w:lineRule="auto"/>
        <w:ind w:firstLine="385" w:firstLineChars="175"/>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10、我们若违反上述承诺，愿接受取消供应商中标资格及其他任何形式的处理。</w:t>
      </w:r>
    </w:p>
    <w:p w14:paraId="4D694F3E">
      <w:pPr>
        <w:wordWrap w:val="0"/>
        <w:snapToGrid w:val="0"/>
        <w:spacing w:line="360" w:lineRule="auto"/>
        <w:ind w:firstLine="385" w:firstLineChars="175"/>
        <w:rPr>
          <w:rFonts w:hint="eastAsia" w:ascii="宋体" w:hAnsi="宋体" w:eastAsia="宋体" w:cs="宋体"/>
          <w:color w:val="auto"/>
          <w:sz w:val="22"/>
          <w:szCs w:val="22"/>
          <w:highlight w:val="none"/>
        </w:rPr>
      </w:pPr>
    </w:p>
    <w:p w14:paraId="4AC22F9F">
      <w:pPr>
        <w:wordWrap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供应商全称(盖章)</w:t>
      </w:r>
      <w:r>
        <w:rPr>
          <w:rFonts w:hint="eastAsia" w:ascii="宋体" w:hAnsi="宋体" w:eastAsia="宋体" w:cs="宋体"/>
          <w:color w:val="auto"/>
          <w:sz w:val="22"/>
          <w:szCs w:val="22"/>
          <w:highlight w:val="none"/>
          <w:u w:val="single"/>
        </w:rPr>
        <w:t xml:space="preserve">                    </w:t>
      </w:r>
    </w:p>
    <w:p w14:paraId="0B39E7F5">
      <w:pPr>
        <w:wordWrap w:val="0"/>
        <w:spacing w:line="360" w:lineRule="auto"/>
        <w:rPr>
          <w:rFonts w:hint="eastAsia" w:ascii="宋体" w:hAnsi="宋体" w:eastAsia="宋体" w:cs="宋体"/>
          <w:color w:val="auto"/>
          <w:sz w:val="22"/>
          <w:szCs w:val="22"/>
          <w:highlight w:val="none"/>
          <w:u w:val="single"/>
        </w:rPr>
      </w:pPr>
      <w:r>
        <w:rPr>
          <w:rFonts w:hint="eastAsia" w:ascii="宋体" w:hAnsi="宋体" w:eastAsia="宋体" w:cs="宋体"/>
          <w:color w:val="auto"/>
          <w:sz w:val="22"/>
          <w:szCs w:val="22"/>
          <w:highlight w:val="none"/>
        </w:rPr>
        <w:t>法定代表人（负责人）或授权代表（签字或签章）</w:t>
      </w:r>
      <w:r>
        <w:rPr>
          <w:rFonts w:hint="eastAsia" w:ascii="宋体" w:hAnsi="宋体" w:eastAsia="宋体" w:cs="宋体"/>
          <w:color w:val="auto"/>
          <w:sz w:val="22"/>
          <w:szCs w:val="22"/>
          <w:highlight w:val="none"/>
          <w:u w:val="single"/>
        </w:rPr>
        <w:t xml:space="preserve">          </w:t>
      </w:r>
    </w:p>
    <w:p w14:paraId="5619E2FE">
      <w:pPr>
        <w:wordWrap w:val="0"/>
        <w:spacing w:line="360" w:lineRule="auto"/>
        <w:rPr>
          <w:rFonts w:hint="eastAsia" w:ascii="宋体" w:hAnsi="宋体" w:eastAsia="宋体" w:cs="宋体"/>
          <w:bCs/>
          <w:color w:val="auto"/>
          <w:sz w:val="22"/>
          <w:highlight w:val="none"/>
        </w:rPr>
      </w:pPr>
      <w:r>
        <w:rPr>
          <w:rFonts w:hint="eastAsia" w:ascii="宋体" w:hAnsi="宋体" w:eastAsia="宋体" w:cs="宋体"/>
          <w:color w:val="auto"/>
          <w:sz w:val="22"/>
          <w:szCs w:val="22"/>
          <w:highlight w:val="none"/>
        </w:rPr>
        <w:t>日 期</w:t>
      </w:r>
      <w:r>
        <w:rPr>
          <w:rFonts w:hint="eastAsia" w:ascii="宋体" w:hAnsi="宋体" w:eastAsia="宋体" w:cs="宋体"/>
          <w:color w:val="auto"/>
          <w:sz w:val="22"/>
          <w:szCs w:val="22"/>
          <w:highlight w:val="none"/>
          <w:u w:val="single"/>
        </w:rPr>
        <w:t xml:space="preserve">                               </w:t>
      </w:r>
    </w:p>
    <w:p w14:paraId="7FF195C2">
      <w:pPr>
        <w:pStyle w:val="14"/>
        <w:wordWrap w:val="0"/>
        <w:adjustRightInd w:val="0"/>
        <w:snapToGrid w:val="0"/>
        <w:spacing w:line="360" w:lineRule="auto"/>
        <w:rPr>
          <w:rFonts w:hint="eastAsia" w:ascii="宋体" w:hAnsi="宋体" w:eastAsia="宋体" w:cs="宋体"/>
          <w:color w:val="auto"/>
          <w:sz w:val="30"/>
          <w:highlight w:val="none"/>
        </w:rPr>
      </w:pPr>
    </w:p>
    <w:p w14:paraId="24DDE017">
      <w:pPr>
        <w:pStyle w:val="14"/>
        <w:wordWrap w:val="0"/>
        <w:adjustRightInd w:val="0"/>
        <w:snapToGrid w:val="0"/>
        <w:spacing w:line="360" w:lineRule="auto"/>
        <w:rPr>
          <w:rFonts w:hint="eastAsia" w:ascii="宋体" w:hAnsi="宋体" w:eastAsia="宋体" w:cs="宋体"/>
          <w:color w:val="auto"/>
          <w:sz w:val="30"/>
          <w:highlight w:val="none"/>
        </w:rPr>
      </w:pPr>
    </w:p>
    <w:p w14:paraId="65A63EDD">
      <w:pPr>
        <w:wordWrap w:val="0"/>
        <w:autoSpaceDE w:val="0"/>
        <w:autoSpaceDN w:val="0"/>
        <w:adjustRightInd w:val="0"/>
        <w:snapToGrid w:val="0"/>
        <w:spacing w:line="360" w:lineRule="auto"/>
        <w:jc w:val="center"/>
        <w:textAlignment w:val="bottom"/>
        <w:outlineLvl w:val="0"/>
        <w:rPr>
          <w:rFonts w:hint="eastAsia" w:ascii="宋体" w:hAnsi="宋体" w:eastAsia="宋体" w:cs="宋体"/>
          <w:b/>
          <w:bCs/>
          <w:color w:val="auto"/>
          <w:sz w:val="36"/>
          <w:highlight w:val="none"/>
        </w:rPr>
      </w:pPr>
      <w:r>
        <w:rPr>
          <w:rFonts w:hint="eastAsia" w:ascii="宋体" w:hAnsi="宋体" w:eastAsia="宋体" w:cs="宋体"/>
          <w:color w:val="auto"/>
          <w:sz w:val="36"/>
          <w:highlight w:val="none"/>
        </w:rPr>
        <w:br w:type="page"/>
      </w:r>
      <w:bookmarkStart w:id="134" w:name="_Toc991"/>
      <w:r>
        <w:rPr>
          <w:rFonts w:hint="eastAsia" w:ascii="宋体" w:hAnsi="宋体" w:eastAsia="宋体" w:cs="宋体"/>
          <w:b/>
          <w:bCs/>
          <w:color w:val="auto"/>
          <w:sz w:val="36"/>
          <w:highlight w:val="none"/>
        </w:rPr>
        <w:t>第</w:t>
      </w:r>
      <w:r>
        <w:rPr>
          <w:rFonts w:hint="eastAsia" w:ascii="宋体" w:hAnsi="宋体" w:eastAsia="宋体" w:cs="宋体"/>
          <w:b/>
          <w:bCs/>
          <w:color w:val="auto"/>
          <w:sz w:val="36"/>
          <w:highlight w:val="none"/>
          <w:lang w:val="en-US" w:eastAsia="zh-CN"/>
        </w:rPr>
        <w:t>六</w:t>
      </w:r>
      <w:r>
        <w:rPr>
          <w:rFonts w:hint="eastAsia" w:ascii="宋体" w:hAnsi="宋体" w:eastAsia="宋体" w:cs="宋体"/>
          <w:b/>
          <w:bCs/>
          <w:color w:val="auto"/>
          <w:sz w:val="36"/>
          <w:highlight w:val="none"/>
        </w:rPr>
        <w:t>部分 评标办法</w:t>
      </w:r>
      <w:bookmarkEnd w:id="134"/>
    </w:p>
    <w:p w14:paraId="17C13241">
      <w:pPr>
        <w:pStyle w:val="16"/>
        <w:wordWrap w:val="0"/>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根据《平阳县县属国有企业采购管理办法（试行）》等有关政府采购法规，结合本次采购的实际，按照公平、公正、科学、择优的原则选择中标供应商，特制定本评标办法。</w:t>
      </w:r>
    </w:p>
    <w:p w14:paraId="78FAD63D">
      <w:pPr>
        <w:pStyle w:val="16"/>
        <w:wordWrap w:val="0"/>
        <w:adjustRightInd w:val="0"/>
        <w:snapToGrid w:val="0"/>
        <w:spacing w:line="360" w:lineRule="auto"/>
        <w:jc w:val="center"/>
        <w:outlineLvl w:val="1"/>
        <w:rPr>
          <w:rFonts w:hint="eastAsia" w:ascii="宋体" w:hAnsi="宋体" w:eastAsia="宋体" w:cs="宋体"/>
          <w:color w:val="auto"/>
          <w:sz w:val="22"/>
          <w:szCs w:val="22"/>
          <w:highlight w:val="none"/>
        </w:rPr>
      </w:pPr>
      <w:bookmarkStart w:id="135" w:name="_Toc22055"/>
      <w:bookmarkStart w:id="136" w:name="_Toc25522"/>
      <w:bookmarkStart w:id="137" w:name="_Toc3069"/>
      <w:bookmarkStart w:id="138" w:name="_Toc17848"/>
      <w:bookmarkStart w:id="139" w:name="_Toc25263"/>
      <w:r>
        <w:rPr>
          <w:rFonts w:hint="eastAsia" w:ascii="宋体" w:hAnsi="宋体" w:eastAsia="宋体" w:cs="宋体"/>
          <w:color w:val="auto"/>
          <w:sz w:val="22"/>
          <w:szCs w:val="22"/>
          <w:highlight w:val="none"/>
        </w:rPr>
        <w:t>一、总则</w:t>
      </w:r>
      <w:bookmarkEnd w:id="135"/>
      <w:bookmarkEnd w:id="136"/>
      <w:bookmarkEnd w:id="137"/>
      <w:bookmarkEnd w:id="138"/>
      <w:bookmarkEnd w:id="139"/>
    </w:p>
    <w:p w14:paraId="157D8E31">
      <w:pPr>
        <w:pStyle w:val="16"/>
        <w:wordWrap w:val="0"/>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遵循公平、公正、民主、科学的原则和诚实、信誉、效率的服务原则，本着科学、严谨的态度，认真进行评标，择优选定供应商，确保服务质量，节约投资，最大限度地保护当事人权益。严格按照采购文件的商务、技术要求，对投标文件进行综合评定，提出优选方案，编写评标报告。评标人员必须严格遵守保密规定，不得泄漏评标的有关情况，不得索贿受贿，不得接受吃请和礼品，不得参加影响公正评标的有关活动。对落标供应商，评标委员会不作任何落标解释。供应商不得以任何方式干扰招投标工作的进行，一经发现，其投标文件将被拒绝。</w:t>
      </w:r>
    </w:p>
    <w:p w14:paraId="6407F86F">
      <w:pPr>
        <w:wordWrap w:val="0"/>
        <w:adjustRightInd w:val="0"/>
        <w:snapToGrid w:val="0"/>
        <w:spacing w:line="360" w:lineRule="auto"/>
        <w:jc w:val="center"/>
        <w:outlineLvl w:val="1"/>
        <w:rPr>
          <w:rFonts w:hint="eastAsia" w:ascii="宋体" w:hAnsi="宋体" w:eastAsia="宋体" w:cs="宋体"/>
          <w:bCs/>
          <w:color w:val="auto"/>
          <w:sz w:val="22"/>
          <w:szCs w:val="22"/>
          <w:highlight w:val="none"/>
        </w:rPr>
      </w:pPr>
      <w:bookmarkStart w:id="140" w:name="_Toc30019"/>
      <w:bookmarkStart w:id="141" w:name="_Toc24880"/>
      <w:bookmarkStart w:id="142" w:name="_Toc29171"/>
      <w:bookmarkStart w:id="143" w:name="_Toc1767"/>
      <w:bookmarkStart w:id="144" w:name="_Toc11447"/>
      <w:r>
        <w:rPr>
          <w:rFonts w:hint="eastAsia" w:ascii="宋体" w:hAnsi="宋体" w:eastAsia="宋体" w:cs="宋体"/>
          <w:bCs/>
          <w:color w:val="auto"/>
          <w:sz w:val="22"/>
          <w:szCs w:val="22"/>
          <w:highlight w:val="none"/>
        </w:rPr>
        <w:t>二．评标组织</w:t>
      </w:r>
      <w:bookmarkEnd w:id="140"/>
      <w:bookmarkEnd w:id="141"/>
      <w:bookmarkEnd w:id="142"/>
      <w:bookmarkEnd w:id="143"/>
      <w:bookmarkEnd w:id="144"/>
    </w:p>
    <w:p w14:paraId="52BE0974">
      <w:pPr>
        <w:pStyle w:val="16"/>
        <w:wordWrap w:val="0"/>
        <w:adjustRightInd w:val="0"/>
        <w:snapToGrid w:val="0"/>
        <w:spacing w:line="360" w:lineRule="auto"/>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评标工作由采购机构依法组建的评标委员会负责，评标委员会由采购人依法组建，成员人数应当为7人及以上单数，其中评审专家不得少于成员总数的三分之二；评审专家确定方式</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按相关规定从专家库中抽取。评标全过程由招标管理部门监督整个开标、评标和定标过程。</w:t>
      </w:r>
    </w:p>
    <w:p w14:paraId="451196C8">
      <w:pPr>
        <w:pStyle w:val="64"/>
        <w:widowControl w:val="0"/>
        <w:pBdr>
          <w:left w:val="none" w:color="auto" w:sz="0" w:space="0"/>
          <w:bottom w:val="none" w:color="auto" w:sz="0" w:space="0"/>
          <w:right w:val="none" w:color="auto" w:sz="0" w:space="0"/>
        </w:pBdr>
        <w:wordWrap w:val="0"/>
        <w:adjustRightInd w:val="0"/>
        <w:snapToGrid w:val="0"/>
        <w:spacing w:before="0" w:beforeAutospacing="0" w:after="0" w:afterAutospacing="0" w:line="360" w:lineRule="auto"/>
        <w:textAlignment w:val="auto"/>
        <w:outlineLvl w:val="1"/>
        <w:rPr>
          <w:rFonts w:hint="eastAsia" w:ascii="宋体" w:hAnsi="宋体" w:eastAsia="宋体" w:cs="宋体"/>
          <w:b w:val="0"/>
          <w:color w:val="auto"/>
          <w:kern w:val="2"/>
          <w:sz w:val="22"/>
          <w:szCs w:val="22"/>
          <w:highlight w:val="none"/>
        </w:rPr>
      </w:pPr>
      <w:bookmarkStart w:id="145" w:name="_Toc5002"/>
      <w:bookmarkStart w:id="146" w:name="_Toc5227"/>
      <w:bookmarkStart w:id="147" w:name="_Toc16062"/>
      <w:bookmarkStart w:id="148" w:name="_Toc23203"/>
      <w:bookmarkStart w:id="149" w:name="_Toc5207"/>
      <w:r>
        <w:rPr>
          <w:rFonts w:hint="eastAsia" w:ascii="宋体" w:hAnsi="宋体" w:eastAsia="宋体" w:cs="宋体"/>
          <w:b w:val="0"/>
          <w:color w:val="auto"/>
          <w:kern w:val="2"/>
          <w:sz w:val="22"/>
          <w:szCs w:val="22"/>
          <w:highlight w:val="none"/>
        </w:rPr>
        <w:t>三、评标程序</w:t>
      </w:r>
      <w:bookmarkEnd w:id="145"/>
      <w:bookmarkEnd w:id="146"/>
      <w:bookmarkEnd w:id="147"/>
      <w:bookmarkEnd w:id="148"/>
      <w:bookmarkEnd w:id="149"/>
    </w:p>
    <w:p w14:paraId="1465F792">
      <w:pPr>
        <w:pStyle w:val="6"/>
        <w:wordWrap w:val="0"/>
        <w:adjustRightInd w:val="0"/>
        <w:snapToGrid w:val="0"/>
        <w:spacing w:line="360" w:lineRule="auto"/>
        <w:ind w:firstLine="440"/>
        <w:rPr>
          <w:rFonts w:hint="eastAsia" w:ascii="宋体" w:hAnsi="宋体" w:eastAsia="宋体" w:cs="宋体"/>
          <w:color w:val="auto"/>
          <w:sz w:val="22"/>
          <w:szCs w:val="22"/>
          <w:highlight w:val="none"/>
          <w:lang w:eastAsia="zh-CN"/>
        </w:rPr>
      </w:pPr>
      <w:r>
        <w:rPr>
          <w:rFonts w:hint="eastAsia" w:ascii="宋体" w:hAnsi="宋体" w:eastAsia="宋体" w:cs="宋体"/>
          <w:color w:val="auto"/>
          <w:sz w:val="22"/>
          <w:szCs w:val="22"/>
          <w:highlight w:val="none"/>
        </w:rPr>
        <w:t>本次开标，资格审核部分、商务技术文件和报价文件分别开启</w:t>
      </w:r>
      <w:r>
        <w:rPr>
          <w:rFonts w:hint="eastAsia" w:ascii="宋体" w:hAnsi="宋体" w:eastAsia="宋体" w:cs="宋体"/>
          <w:b/>
          <w:color w:val="auto"/>
          <w:sz w:val="22"/>
          <w:szCs w:val="22"/>
          <w:highlight w:val="none"/>
        </w:rPr>
        <w:t>。</w:t>
      </w:r>
      <w:r>
        <w:rPr>
          <w:rFonts w:hint="eastAsia" w:ascii="宋体" w:hAnsi="宋体" w:eastAsia="宋体" w:cs="宋体"/>
          <w:color w:val="auto"/>
          <w:sz w:val="22"/>
          <w:szCs w:val="22"/>
          <w:highlight w:val="none"/>
        </w:rPr>
        <w:t>开标程序如下</w:t>
      </w:r>
      <w:r>
        <w:rPr>
          <w:rFonts w:hint="eastAsia" w:ascii="宋体" w:hAnsi="宋体" w:eastAsia="宋体" w:cs="宋体"/>
          <w:color w:val="auto"/>
          <w:sz w:val="22"/>
          <w:szCs w:val="22"/>
          <w:highlight w:val="none"/>
          <w:lang w:eastAsia="zh-CN"/>
        </w:rPr>
        <w:t>：</w:t>
      </w:r>
    </w:p>
    <w:p w14:paraId="69C8DE67">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第一步</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u w:val="single"/>
        </w:rPr>
        <w:t>首先开启资格审核资料部分及商务技术文件投标文件，</w:t>
      </w:r>
      <w:r>
        <w:rPr>
          <w:rFonts w:hint="eastAsia" w:ascii="宋体" w:hAnsi="宋体" w:eastAsia="宋体" w:cs="宋体"/>
          <w:color w:val="auto"/>
          <w:sz w:val="22"/>
          <w:szCs w:val="22"/>
          <w:highlight w:val="none"/>
        </w:rPr>
        <w:t>采购人或采购代理机构根据投标资格要求对各投标供应商投标资格进行审核，资格审核未通过的供应商做无效标处理，不进入技术资信及商务标评审。评标委员会根据评审原则和评审办法，对资格审核通过的各供应商的资信、技术部分投标进行评审并打分，商务、技术标不合格的供应商做无效标处理，不进入商务标评审。</w:t>
      </w:r>
    </w:p>
    <w:p w14:paraId="4A1CF76B">
      <w:pPr>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第二步</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u w:val="single"/>
        </w:rPr>
        <w:t>公布资格审核情况及商务、技术标得分</w:t>
      </w:r>
      <w:r>
        <w:rPr>
          <w:rFonts w:hint="eastAsia" w:ascii="宋体" w:hAnsi="宋体" w:eastAsia="宋体" w:cs="宋体"/>
          <w:color w:val="auto"/>
          <w:sz w:val="22"/>
          <w:szCs w:val="22"/>
          <w:highlight w:val="none"/>
        </w:rPr>
        <w:t>，开启合格供应商的报价文件。</w:t>
      </w:r>
    </w:p>
    <w:p w14:paraId="47EAE2F5">
      <w:pPr>
        <w:pStyle w:val="21"/>
        <w:wordWrap w:val="0"/>
        <w:snapToGrid w:val="0"/>
        <w:spacing w:line="360" w:lineRule="auto"/>
        <w:ind w:firstLine="44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第三步</w:t>
      </w:r>
      <w:r>
        <w:rPr>
          <w:rFonts w:hint="eastAsia" w:ascii="宋体" w:hAnsi="宋体" w:eastAsia="宋体" w:cs="宋体"/>
          <w:color w:val="auto"/>
          <w:sz w:val="22"/>
          <w:szCs w:val="22"/>
          <w:highlight w:val="none"/>
          <w:lang w:eastAsia="zh-CN"/>
        </w:rPr>
        <w:t>：</w:t>
      </w:r>
      <w:r>
        <w:rPr>
          <w:rFonts w:hint="eastAsia" w:ascii="宋体" w:hAnsi="宋体" w:eastAsia="宋体" w:cs="宋体"/>
          <w:bCs/>
          <w:color w:val="auto"/>
          <w:sz w:val="22"/>
          <w:szCs w:val="22"/>
          <w:highlight w:val="none"/>
        </w:rPr>
        <w:t>评标委员会</w:t>
      </w:r>
      <w:r>
        <w:rPr>
          <w:rFonts w:hint="eastAsia" w:ascii="宋体" w:hAnsi="宋体" w:eastAsia="宋体" w:cs="宋体"/>
          <w:color w:val="auto"/>
          <w:sz w:val="22"/>
          <w:szCs w:val="22"/>
          <w:highlight w:val="none"/>
        </w:rPr>
        <w:t>以商务、技术标和报价标合计分值由高到低的顺序</w:t>
      </w:r>
      <w:r>
        <w:rPr>
          <w:rFonts w:hint="eastAsia" w:ascii="宋体" w:hAnsi="宋体" w:eastAsia="宋体" w:cs="宋体"/>
          <w:bCs/>
          <w:color w:val="auto"/>
          <w:sz w:val="22"/>
          <w:szCs w:val="22"/>
          <w:highlight w:val="none"/>
        </w:rPr>
        <w:t>推荐</w:t>
      </w:r>
      <w:r>
        <w:rPr>
          <w:rFonts w:hint="eastAsia" w:ascii="宋体" w:hAnsi="宋体" w:eastAsia="宋体" w:cs="宋体"/>
          <w:color w:val="auto"/>
          <w:sz w:val="22"/>
          <w:szCs w:val="22"/>
          <w:highlight w:val="none"/>
        </w:rPr>
        <w:t>供应商名单，并提交书面评审报告。</w:t>
      </w:r>
    </w:p>
    <w:p w14:paraId="55AB3749">
      <w:pPr>
        <w:pStyle w:val="21"/>
        <w:wordWrap w:val="0"/>
        <w:snapToGrid w:val="0"/>
        <w:spacing w:line="360" w:lineRule="auto"/>
        <w:ind w:firstLine="440"/>
        <w:rPr>
          <w:rFonts w:hint="eastAsia" w:ascii="宋体" w:hAnsi="宋体" w:eastAsia="宋体" w:cs="宋体"/>
          <w:b/>
          <w:bCs/>
          <w:color w:val="auto"/>
          <w:sz w:val="22"/>
          <w:szCs w:val="22"/>
          <w:highlight w:val="none"/>
        </w:rPr>
      </w:pPr>
      <w:r>
        <w:rPr>
          <w:rFonts w:hint="eastAsia" w:ascii="宋体" w:hAnsi="宋体" w:eastAsia="宋体" w:cs="宋体"/>
          <w:color w:val="auto"/>
          <w:sz w:val="22"/>
          <w:szCs w:val="22"/>
          <w:highlight w:val="none"/>
        </w:rPr>
        <w:t>第四步</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采购人授权由评标委员会根据评审报告直接确定综合得分第一名的供应商为中标供应商。如果得分相同的，按投标报价由低到高顺序排列。得分且投标报价相同的并列。投标文件满足采购文件全部实质性要求，且按照评审因素的量化指标评审得分最高的投标供应商为排名第一的中标候选人。</w:t>
      </w:r>
    </w:p>
    <w:p w14:paraId="153413CC">
      <w:pPr>
        <w:wordWrap w:val="0"/>
        <w:adjustRightInd w:val="0"/>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中标供应商放弃中标，或者因不可抗力提出不能履行合同，采购机构可以取消其中标资格。本次采购失败，依法重新组织采购。</w:t>
      </w:r>
    </w:p>
    <w:p w14:paraId="725D6659">
      <w:pPr>
        <w:wordWrap w:val="0"/>
        <w:adjustRightInd w:val="0"/>
        <w:snapToGrid w:val="0"/>
        <w:spacing w:line="360" w:lineRule="auto"/>
        <w:ind w:firstLine="420"/>
        <w:rPr>
          <w:rFonts w:hint="eastAsia" w:ascii="宋体" w:hAnsi="宋体" w:eastAsia="宋体" w:cs="宋体"/>
          <w:color w:val="auto"/>
          <w:sz w:val="22"/>
          <w:szCs w:val="22"/>
          <w:highlight w:val="none"/>
        </w:rPr>
      </w:pPr>
      <w:r>
        <w:rPr>
          <w:rFonts w:hint="eastAsia" w:ascii="宋体" w:hAnsi="宋体" w:eastAsia="宋体" w:cs="宋体"/>
          <w:b/>
          <w:color w:val="auto"/>
          <w:sz w:val="22"/>
          <w:szCs w:val="22"/>
          <w:highlight w:val="none"/>
        </w:rPr>
        <w:t>其它参见本采购文件第三部分</w:t>
      </w:r>
      <w:r>
        <w:rPr>
          <w:rFonts w:hint="eastAsia" w:ascii="宋体" w:hAnsi="宋体" w:eastAsia="宋体" w:cs="宋体"/>
          <w:b/>
          <w:color w:val="auto"/>
          <w:sz w:val="22"/>
          <w:szCs w:val="22"/>
          <w:highlight w:val="none"/>
          <w:lang w:eastAsia="zh-CN"/>
        </w:rPr>
        <w:t>：</w:t>
      </w:r>
      <w:r>
        <w:rPr>
          <w:rFonts w:hint="eastAsia" w:ascii="宋体" w:hAnsi="宋体" w:eastAsia="宋体" w:cs="宋体"/>
          <w:b/>
          <w:color w:val="auto"/>
          <w:sz w:val="22"/>
          <w:szCs w:val="22"/>
          <w:highlight w:val="none"/>
        </w:rPr>
        <w:t>“供应商须知” 中的相关内容。</w:t>
      </w:r>
    </w:p>
    <w:p w14:paraId="6975038B">
      <w:pPr>
        <w:wordWrap w:val="0"/>
        <w:adjustRightInd w:val="0"/>
        <w:snapToGrid w:val="0"/>
        <w:spacing w:line="360" w:lineRule="auto"/>
        <w:rPr>
          <w:rFonts w:hint="eastAsia" w:ascii="宋体" w:hAnsi="宋体" w:eastAsia="宋体" w:cs="宋体"/>
          <w:color w:val="auto"/>
          <w:sz w:val="24"/>
          <w:highlight w:val="none"/>
        </w:rPr>
        <w:sectPr>
          <w:headerReference r:id="rId11" w:type="default"/>
          <w:footerReference r:id="rId12" w:type="default"/>
          <w:pgSz w:w="11907" w:h="16840"/>
          <w:pgMar w:top="1440" w:right="1106" w:bottom="1440" w:left="1157" w:header="720" w:footer="720" w:gutter="0"/>
          <w:cols w:space="720" w:num="1"/>
          <w:docGrid w:linePitch="312" w:charSpace="0"/>
        </w:sectPr>
      </w:pPr>
    </w:p>
    <w:p w14:paraId="7BD233C4">
      <w:pPr>
        <w:pStyle w:val="14"/>
        <w:wordWrap w:val="0"/>
        <w:adjustRightInd w:val="0"/>
        <w:snapToGrid w:val="0"/>
        <w:spacing w:line="360" w:lineRule="auto"/>
        <w:jc w:val="center"/>
        <w:outlineLvl w:val="0"/>
        <w:rPr>
          <w:rFonts w:hint="eastAsia" w:ascii="宋体" w:hAnsi="宋体" w:eastAsia="宋体" w:cs="宋体"/>
          <w:b/>
          <w:color w:val="auto"/>
          <w:sz w:val="36"/>
          <w:szCs w:val="36"/>
          <w:highlight w:val="none"/>
        </w:rPr>
      </w:pPr>
      <w:bookmarkStart w:id="150" w:name="_Toc22630"/>
      <w:bookmarkStart w:id="151" w:name="_Toc21420"/>
      <w:bookmarkStart w:id="152" w:name="_Toc5306"/>
      <w:bookmarkStart w:id="153" w:name="_Toc10562"/>
      <w:bookmarkStart w:id="154" w:name="_Toc23951"/>
      <w:r>
        <w:rPr>
          <w:rFonts w:hint="eastAsia" w:ascii="宋体" w:hAnsi="宋体" w:eastAsia="宋体" w:cs="宋体"/>
          <w:b/>
          <w:color w:val="auto"/>
          <w:sz w:val="36"/>
          <w:szCs w:val="36"/>
          <w:highlight w:val="none"/>
        </w:rPr>
        <w:t>评标细则</w:t>
      </w:r>
      <w:bookmarkEnd w:id="150"/>
      <w:bookmarkEnd w:id="151"/>
      <w:bookmarkEnd w:id="152"/>
      <w:bookmarkEnd w:id="153"/>
      <w:bookmarkEnd w:id="154"/>
    </w:p>
    <w:p w14:paraId="2B5E1ABA">
      <w:pPr>
        <w:pStyle w:val="14"/>
        <w:tabs>
          <w:tab w:val="left" w:pos="5325"/>
        </w:tabs>
        <w:wordWrap w:val="0"/>
        <w:adjustRightInd w:val="0"/>
        <w:snapToGrid w:val="0"/>
        <w:spacing w:line="360" w:lineRule="auto"/>
        <w:outlineLvl w:val="1"/>
        <w:rPr>
          <w:rFonts w:hint="eastAsia" w:ascii="宋体" w:hAnsi="宋体" w:eastAsia="宋体" w:cs="宋体"/>
          <w:b/>
          <w:bCs/>
          <w:color w:val="auto"/>
          <w:sz w:val="22"/>
          <w:szCs w:val="22"/>
          <w:highlight w:val="none"/>
        </w:rPr>
      </w:pPr>
      <w:bookmarkStart w:id="155" w:name="_Toc9058"/>
      <w:bookmarkStart w:id="156" w:name="_Toc16001"/>
      <w:bookmarkStart w:id="157" w:name="_Toc11088"/>
      <w:bookmarkStart w:id="158" w:name="_Toc20537"/>
      <w:bookmarkStart w:id="159" w:name="_Toc16331"/>
      <w:r>
        <w:rPr>
          <w:rFonts w:hint="eastAsia" w:ascii="宋体" w:hAnsi="宋体" w:eastAsia="宋体" w:cs="宋体"/>
          <w:b/>
          <w:bCs/>
          <w:color w:val="auto"/>
          <w:sz w:val="22"/>
          <w:szCs w:val="22"/>
          <w:highlight w:val="none"/>
        </w:rPr>
        <w:t>一、</w:t>
      </w:r>
      <w:r>
        <w:rPr>
          <w:rFonts w:hint="eastAsia" w:ascii="宋体" w:hAnsi="宋体" w:eastAsia="宋体" w:cs="宋体"/>
          <w:b/>
          <w:bCs/>
          <w:color w:val="auto"/>
          <w:sz w:val="22"/>
          <w:szCs w:val="22"/>
          <w:highlight w:val="none"/>
          <w:u w:val="single"/>
        </w:rPr>
        <w:t>报价评分</w:t>
      </w:r>
      <w:r>
        <w:rPr>
          <w:rFonts w:hint="eastAsia" w:hAnsi="宋体" w:cs="宋体"/>
          <w:b/>
          <w:bCs/>
          <w:color w:val="auto"/>
          <w:sz w:val="22"/>
          <w:szCs w:val="22"/>
          <w:highlight w:val="none"/>
          <w:u w:val="single"/>
          <w:lang w:val="en-US" w:eastAsia="zh-CN"/>
        </w:rPr>
        <w:t>3</w:t>
      </w:r>
      <w:r>
        <w:rPr>
          <w:rFonts w:hint="eastAsia" w:ascii="宋体" w:hAnsi="宋体" w:eastAsia="宋体" w:cs="宋体"/>
          <w:b/>
          <w:bCs/>
          <w:color w:val="auto"/>
          <w:sz w:val="22"/>
          <w:szCs w:val="22"/>
          <w:highlight w:val="none"/>
          <w:u w:val="single"/>
          <w:lang w:val="en-US" w:eastAsia="zh-CN"/>
        </w:rPr>
        <w:t>0</w:t>
      </w:r>
      <w:r>
        <w:rPr>
          <w:rFonts w:hint="eastAsia" w:ascii="宋体" w:hAnsi="宋体" w:eastAsia="宋体" w:cs="宋体"/>
          <w:b/>
          <w:bCs/>
          <w:color w:val="auto"/>
          <w:sz w:val="22"/>
          <w:szCs w:val="22"/>
          <w:highlight w:val="none"/>
        </w:rPr>
        <w:t>分</w:t>
      </w:r>
      <w:bookmarkEnd w:id="155"/>
      <w:bookmarkEnd w:id="156"/>
      <w:bookmarkEnd w:id="157"/>
      <w:bookmarkEnd w:id="158"/>
      <w:bookmarkEnd w:id="159"/>
      <w:r>
        <w:rPr>
          <w:rFonts w:hint="eastAsia" w:ascii="宋体" w:hAnsi="宋体" w:eastAsia="宋体" w:cs="宋体"/>
          <w:b/>
          <w:bCs/>
          <w:color w:val="auto"/>
          <w:sz w:val="22"/>
          <w:szCs w:val="22"/>
          <w:highlight w:val="none"/>
        </w:rPr>
        <w:t xml:space="preserve">  </w:t>
      </w:r>
      <w:r>
        <w:rPr>
          <w:rFonts w:hint="eastAsia" w:ascii="宋体" w:hAnsi="宋体" w:eastAsia="宋体" w:cs="宋体"/>
          <w:b/>
          <w:bCs/>
          <w:color w:val="auto"/>
          <w:sz w:val="22"/>
          <w:szCs w:val="22"/>
          <w:highlight w:val="none"/>
        </w:rPr>
        <w:tab/>
      </w:r>
    </w:p>
    <w:p w14:paraId="6830755F">
      <w:pPr>
        <w:pStyle w:val="12"/>
        <w:wordWrap w:val="0"/>
        <w:spacing w:after="0"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1、以有效投标供应商的有效投标价中的最低价为评标基准价，得满分</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分。报价评分结算公式为:报价得分=(评标基准价／投标价)×</w:t>
      </w:r>
      <w:r>
        <w:rPr>
          <w:rFonts w:hint="eastAsia" w:ascii="宋体" w:hAnsi="宋体" w:cs="宋体"/>
          <w:color w:val="auto"/>
          <w:sz w:val="22"/>
          <w:szCs w:val="22"/>
          <w:highlight w:val="none"/>
          <w:lang w:val="en-US" w:eastAsia="zh-CN"/>
        </w:rPr>
        <w:t>3</w:t>
      </w:r>
      <w:r>
        <w:rPr>
          <w:rFonts w:hint="eastAsia" w:ascii="宋体" w:hAnsi="宋体" w:eastAsia="宋体" w:cs="宋体"/>
          <w:color w:val="auto"/>
          <w:sz w:val="22"/>
          <w:szCs w:val="22"/>
          <w:highlight w:val="none"/>
          <w:lang w:val="en-US" w:eastAsia="zh-CN"/>
        </w:rPr>
        <w:t>0</w:t>
      </w:r>
      <w:r>
        <w:rPr>
          <w:rFonts w:hint="eastAsia" w:ascii="宋体" w:hAnsi="宋体" w:eastAsia="宋体" w:cs="宋体"/>
          <w:color w:val="auto"/>
          <w:sz w:val="22"/>
          <w:szCs w:val="22"/>
          <w:highlight w:val="none"/>
        </w:rPr>
        <w:t>%×100；</w:t>
      </w:r>
    </w:p>
    <w:p w14:paraId="60615B21">
      <w:pPr>
        <w:pStyle w:val="12"/>
        <w:wordWrap w:val="0"/>
        <w:spacing w:after="0" w:line="360" w:lineRule="auto"/>
        <w:ind w:left="0" w:leftChars="0"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2、如果某些（个）供应商投标报价超出该采购预算，该供应商投标按无效投标处理。</w:t>
      </w:r>
    </w:p>
    <w:p w14:paraId="38DAA0D4">
      <w:pPr>
        <w:pStyle w:val="14"/>
        <w:wordWrap w:val="0"/>
        <w:adjustRightInd w:val="0"/>
        <w:snapToGrid w:val="0"/>
        <w:spacing w:line="360" w:lineRule="auto"/>
        <w:outlineLvl w:val="1"/>
        <w:rPr>
          <w:rFonts w:hint="eastAsia" w:ascii="宋体" w:hAnsi="宋体" w:eastAsia="宋体" w:cs="宋体"/>
          <w:b/>
          <w:color w:val="auto"/>
          <w:sz w:val="22"/>
          <w:szCs w:val="22"/>
          <w:highlight w:val="none"/>
        </w:rPr>
      </w:pPr>
      <w:bookmarkStart w:id="160" w:name="_Toc13554"/>
      <w:bookmarkStart w:id="161" w:name="_Toc11731"/>
      <w:bookmarkStart w:id="162" w:name="_Toc25823"/>
      <w:bookmarkStart w:id="163" w:name="_Toc23612"/>
      <w:bookmarkStart w:id="164" w:name="_Toc15799"/>
      <w:r>
        <w:rPr>
          <w:rFonts w:hint="eastAsia" w:ascii="宋体" w:hAnsi="宋体" w:eastAsia="宋体" w:cs="宋体"/>
          <w:b/>
          <w:color w:val="auto"/>
          <w:sz w:val="22"/>
          <w:szCs w:val="22"/>
          <w:highlight w:val="none"/>
        </w:rPr>
        <w:t>二、</w:t>
      </w:r>
      <w:r>
        <w:rPr>
          <w:rFonts w:hint="eastAsia" w:ascii="宋体" w:hAnsi="宋体" w:eastAsia="宋体" w:cs="宋体"/>
          <w:b/>
          <w:color w:val="auto"/>
          <w:sz w:val="22"/>
          <w:szCs w:val="22"/>
          <w:highlight w:val="none"/>
          <w:u w:val="single"/>
        </w:rPr>
        <w:t>商务、技术评分</w:t>
      </w:r>
      <w:r>
        <w:rPr>
          <w:rFonts w:hint="eastAsia" w:hAnsi="宋体" w:cs="宋体"/>
          <w:b/>
          <w:color w:val="auto"/>
          <w:sz w:val="22"/>
          <w:szCs w:val="22"/>
          <w:highlight w:val="none"/>
          <w:lang w:val="en-US" w:eastAsia="zh-CN"/>
        </w:rPr>
        <w:t>7</w:t>
      </w:r>
      <w:r>
        <w:rPr>
          <w:rFonts w:hint="eastAsia" w:ascii="宋体" w:hAnsi="宋体" w:eastAsia="宋体" w:cs="宋体"/>
          <w:b/>
          <w:color w:val="auto"/>
          <w:sz w:val="22"/>
          <w:szCs w:val="22"/>
          <w:highlight w:val="none"/>
          <w:lang w:val="en-US" w:eastAsia="zh-CN"/>
        </w:rPr>
        <w:t>0</w:t>
      </w:r>
      <w:r>
        <w:rPr>
          <w:rFonts w:hint="eastAsia" w:ascii="宋体" w:hAnsi="宋体" w:eastAsia="宋体" w:cs="宋体"/>
          <w:b/>
          <w:color w:val="auto"/>
          <w:sz w:val="22"/>
          <w:szCs w:val="22"/>
          <w:highlight w:val="none"/>
        </w:rPr>
        <w:t>分</w:t>
      </w:r>
      <w:bookmarkEnd w:id="160"/>
      <w:bookmarkEnd w:id="161"/>
      <w:bookmarkEnd w:id="162"/>
      <w:bookmarkEnd w:id="163"/>
      <w:bookmarkEnd w:id="164"/>
    </w:p>
    <w:tbl>
      <w:tblPr>
        <w:tblStyle w:val="28"/>
        <w:tblW w:w="97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14"/>
        <w:gridCol w:w="2007"/>
        <w:gridCol w:w="725"/>
        <w:gridCol w:w="6154"/>
      </w:tblGrid>
      <w:tr w14:paraId="2CBBC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7428A83">
            <w:pPr>
              <w:keepNext w:val="0"/>
              <w:keepLines w:val="0"/>
              <w:pageBreakBefore w:val="0"/>
              <w:widowControl/>
              <w:shd w:val="clear" w:color="auto"/>
              <w:kinsoku/>
              <w:wordWrap/>
              <w:overflowPunct/>
              <w:topLinePunct w:val="0"/>
              <w:autoSpaceDE/>
              <w:autoSpaceDN/>
              <w:bidi w:val="0"/>
              <w:adjustRightInd/>
              <w:snapToGrid/>
              <w:jc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序号</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DF9678E">
            <w:pPr>
              <w:keepNext w:val="0"/>
              <w:keepLines w:val="0"/>
              <w:pageBreakBefore w:val="0"/>
              <w:widowControl/>
              <w:shd w:val="clear" w:color="auto"/>
              <w:kinsoku/>
              <w:wordWrap/>
              <w:overflowPunct/>
              <w:topLinePunct w:val="0"/>
              <w:autoSpaceDE/>
              <w:autoSpaceDN/>
              <w:bidi w:val="0"/>
              <w:adjustRightInd/>
              <w:snapToGrid/>
              <w:jc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评分内容</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87CEA84">
            <w:pPr>
              <w:keepNext w:val="0"/>
              <w:keepLines w:val="0"/>
              <w:pageBreakBefore w:val="0"/>
              <w:widowControl/>
              <w:shd w:val="clear" w:color="auto"/>
              <w:kinsoku/>
              <w:wordWrap/>
              <w:overflowPunct/>
              <w:topLinePunct w:val="0"/>
              <w:autoSpaceDE/>
              <w:autoSpaceDN/>
              <w:bidi w:val="0"/>
              <w:adjustRightInd/>
              <w:snapToGrid/>
              <w:jc w:val="center"/>
              <w:rPr>
                <w:rFonts w:hint="eastAsia" w:ascii="宋体" w:hAnsi="宋体" w:eastAsia="宋体" w:cs="宋体"/>
                <w:color w:val="auto"/>
                <w:kern w:val="0"/>
                <w:sz w:val="22"/>
                <w:szCs w:val="22"/>
                <w:highlight w:val="none"/>
                <w:lang w:eastAsia="zh-CN" w:bidi="ar"/>
              </w:rPr>
            </w:pPr>
            <w:r>
              <w:rPr>
                <w:rFonts w:hint="eastAsia" w:ascii="宋体" w:hAnsi="宋体" w:eastAsia="宋体" w:cs="宋体"/>
                <w:color w:val="auto"/>
                <w:kern w:val="0"/>
                <w:sz w:val="22"/>
                <w:szCs w:val="22"/>
                <w:highlight w:val="none"/>
                <w:lang w:val="en-US" w:eastAsia="zh-CN" w:bidi="ar"/>
              </w:rPr>
              <w:t>分值</w:t>
            </w:r>
          </w:p>
        </w:tc>
        <w:tc>
          <w:tcPr>
            <w:tcW w:w="6154" w:type="dxa"/>
            <w:tcBorders>
              <w:top w:val="single" w:color="auto" w:sz="4" w:space="0"/>
              <w:left w:val="single" w:color="auto" w:sz="4" w:space="0"/>
              <w:right w:val="single" w:color="auto" w:sz="4" w:space="0"/>
            </w:tcBorders>
            <w:shd w:val="clear" w:color="auto" w:fill="auto"/>
            <w:noWrap w:val="0"/>
            <w:vAlign w:val="center"/>
          </w:tcPr>
          <w:p w14:paraId="1584B566">
            <w:pPr>
              <w:keepNext w:val="0"/>
              <w:keepLines w:val="0"/>
              <w:pageBreakBefore w:val="0"/>
              <w:widowControl/>
              <w:shd w:val="clear" w:color="auto"/>
              <w:kinsoku/>
              <w:wordWrap/>
              <w:overflowPunct/>
              <w:topLinePunct w:val="0"/>
              <w:autoSpaceDE/>
              <w:autoSpaceDN/>
              <w:bidi w:val="0"/>
              <w:adjustRightInd/>
              <w:snapToGrid/>
              <w:jc w:val="center"/>
              <w:rPr>
                <w:rFonts w:hint="eastAsia" w:ascii="宋体" w:hAnsi="宋体" w:eastAsia="宋体" w:cs="宋体"/>
                <w:color w:val="auto"/>
                <w:kern w:val="0"/>
                <w:sz w:val="22"/>
                <w:szCs w:val="22"/>
                <w:highlight w:val="none"/>
                <w:lang w:bidi="ar"/>
              </w:rPr>
            </w:pPr>
            <w:r>
              <w:rPr>
                <w:rFonts w:hint="eastAsia" w:ascii="宋体" w:hAnsi="宋体" w:eastAsia="宋体" w:cs="宋体"/>
                <w:color w:val="auto"/>
                <w:kern w:val="0"/>
                <w:sz w:val="22"/>
                <w:szCs w:val="22"/>
                <w:highlight w:val="none"/>
                <w:lang w:bidi="ar"/>
              </w:rPr>
              <w:t>评分细则</w:t>
            </w:r>
          </w:p>
        </w:tc>
      </w:tr>
      <w:tr w14:paraId="65EF8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bottom w:val="single" w:color="auto" w:sz="4" w:space="0"/>
              <w:right w:val="single" w:color="auto" w:sz="4" w:space="0"/>
            </w:tcBorders>
            <w:shd w:val="clear" w:color="auto" w:fill="auto"/>
            <w:noWrap w:val="0"/>
            <w:vAlign w:val="center"/>
          </w:tcPr>
          <w:p w14:paraId="7D05283D">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eastAsia="zh-CN" w:bidi="ar"/>
              </w:rPr>
            </w:pPr>
            <w:r>
              <w:rPr>
                <w:rFonts w:hint="eastAsia" w:ascii="宋体" w:hAnsi="宋体" w:eastAsia="宋体" w:cs="宋体"/>
                <w:color w:val="auto"/>
                <w:kern w:val="2"/>
                <w:sz w:val="22"/>
                <w:szCs w:val="22"/>
                <w:highlight w:val="none"/>
                <w:lang w:val="en-US" w:eastAsia="zh-CN" w:bidi="ar"/>
              </w:rPr>
              <w:t>1</w:t>
            </w:r>
          </w:p>
        </w:tc>
        <w:tc>
          <w:tcPr>
            <w:tcW w:w="2007" w:type="dxa"/>
            <w:tcBorders>
              <w:left w:val="single" w:color="auto" w:sz="4" w:space="0"/>
              <w:bottom w:val="single" w:color="auto" w:sz="4" w:space="0"/>
              <w:right w:val="single" w:color="auto" w:sz="4" w:space="0"/>
            </w:tcBorders>
            <w:shd w:val="clear" w:color="auto" w:fill="auto"/>
            <w:noWrap w:val="0"/>
            <w:vAlign w:val="center"/>
          </w:tcPr>
          <w:p w14:paraId="7D4896DD">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bidi="ar"/>
              </w:rPr>
            </w:pPr>
            <w:r>
              <w:rPr>
                <w:rFonts w:hint="eastAsia" w:ascii="宋体" w:hAnsi="宋体" w:eastAsia="宋体" w:cs="宋体"/>
                <w:color w:val="auto"/>
                <w:kern w:val="0"/>
                <w:sz w:val="22"/>
                <w:szCs w:val="22"/>
                <w:highlight w:val="none"/>
                <w:lang w:val="en-US" w:eastAsia="zh-CN" w:bidi="ar"/>
              </w:rPr>
              <w:t>同类项目业绩证明</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B4D92EA">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bidi="ar-SA"/>
              </w:rPr>
            </w:pPr>
            <w:r>
              <w:rPr>
                <w:rFonts w:hint="eastAsia" w:ascii="宋体" w:hAnsi="宋体" w:eastAsia="宋体" w:cs="宋体"/>
                <w:b w:val="0"/>
                <w:bCs w:val="0"/>
                <w:color w:val="auto"/>
                <w:kern w:val="2"/>
                <w:sz w:val="22"/>
                <w:szCs w:val="22"/>
                <w:highlight w:val="none"/>
                <w:lang w:val="en-US" w:eastAsia="zh-CN" w:bidi="ar-SA"/>
              </w:rPr>
              <w:t>3</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F32B053">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 w:val="0"/>
                <w:bCs/>
                <w:color w:val="auto"/>
                <w:sz w:val="22"/>
                <w:szCs w:val="22"/>
                <w:highlight w:val="none"/>
                <w:lang w:val="en-US" w:eastAsia="zh-CN"/>
              </w:rPr>
            </w:pPr>
            <w:r>
              <w:rPr>
                <w:rFonts w:hint="eastAsia" w:ascii="宋体" w:hAnsi="宋体" w:eastAsia="宋体" w:cs="宋体"/>
                <w:b w:val="0"/>
                <w:bCs/>
                <w:color w:val="auto"/>
                <w:sz w:val="22"/>
                <w:szCs w:val="22"/>
                <w:highlight w:val="none"/>
                <w:lang w:val="en-US" w:eastAsia="zh-CN"/>
              </w:rPr>
              <w:t>根据供应商2023年1月1日以来（以合同签订时间为主）完成的类似天气供应项目业绩，每提供一份有效业绩的得1分，最多得3分；</w:t>
            </w:r>
          </w:p>
          <w:p w14:paraId="32B6DF4A">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lang w:eastAsia="zh-CN"/>
              </w:rPr>
            </w:pPr>
            <w:r>
              <w:rPr>
                <w:rFonts w:hint="eastAsia" w:ascii="宋体" w:hAnsi="宋体" w:eastAsia="宋体" w:cs="宋体"/>
                <w:b w:val="0"/>
                <w:bCs/>
                <w:color w:val="auto"/>
                <w:sz w:val="22"/>
                <w:szCs w:val="22"/>
                <w:highlight w:val="none"/>
                <w:lang w:val="en-US" w:eastAsia="zh-CN"/>
              </w:rPr>
              <w:t>说明：提供合同复印件并加盖公章，否则不得分。</w:t>
            </w:r>
          </w:p>
        </w:tc>
      </w:tr>
      <w:tr w14:paraId="0774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bottom w:val="single" w:color="auto" w:sz="4" w:space="0"/>
              <w:right w:val="single" w:color="auto" w:sz="4" w:space="0"/>
            </w:tcBorders>
            <w:shd w:val="clear" w:color="auto" w:fill="auto"/>
            <w:noWrap w:val="0"/>
            <w:vAlign w:val="center"/>
          </w:tcPr>
          <w:p w14:paraId="435A1252">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2</w:t>
            </w:r>
          </w:p>
        </w:tc>
        <w:tc>
          <w:tcPr>
            <w:tcW w:w="2007" w:type="dxa"/>
            <w:tcBorders>
              <w:left w:val="single" w:color="auto" w:sz="4" w:space="0"/>
              <w:bottom w:val="single" w:color="auto" w:sz="4" w:space="0"/>
              <w:right w:val="single" w:color="auto" w:sz="4" w:space="0"/>
            </w:tcBorders>
            <w:shd w:val="clear" w:color="auto" w:fill="auto"/>
            <w:noWrap w:val="0"/>
            <w:vAlign w:val="center"/>
          </w:tcPr>
          <w:p w14:paraId="7A3D4985">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lang w:val="en-US" w:eastAsia="zh-CN" w:bidi="ar"/>
              </w:rPr>
              <w:t>车辆配置情况</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8D3EAB6">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8</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E53CC3D">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根据供应商自有或租赁或委托第三方运输液化天然气运输车辆数量进行打分。</w:t>
            </w:r>
          </w:p>
          <w:p w14:paraId="0C7F5E7A">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提供10辆及以上符合上述要求的车辆，得 4分；15辆及以上的，得 6分；20辆及以上的，得 8分。</w:t>
            </w:r>
          </w:p>
          <w:p w14:paraId="1DF1845D">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证明材料要求（须同时满足，否则该车辆不得分）：</w:t>
            </w:r>
          </w:p>
          <w:p w14:paraId="0800868C">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1.车辆行驶证；</w:t>
            </w:r>
          </w:p>
          <w:p w14:paraId="4E71A602">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2.有效的《道路运输证》（</w:t>
            </w:r>
            <w:r>
              <w:rPr>
                <w:rFonts w:hint="eastAsia" w:ascii="宋体" w:hAnsi="宋体" w:eastAsia="宋体" w:cs="宋体"/>
                <w:bCs/>
                <w:color w:val="auto"/>
                <w:kern w:val="2"/>
                <w:sz w:val="22"/>
                <w:szCs w:val="22"/>
                <w:highlight w:val="none"/>
                <w:lang w:val="en-US" w:eastAsia="zh-CN" w:bidi="ar-SA"/>
              </w:rPr>
              <w:t>经营范围包含经营性危险货物运输&lt;2.1项&gt;</w:t>
            </w:r>
            <w:r>
              <w:rPr>
                <w:rFonts w:hint="eastAsia" w:ascii="宋体" w:hAnsi="宋体" w:eastAsia="宋体" w:cs="宋体"/>
                <w:b w:val="0"/>
                <w:bCs/>
                <w:color w:val="auto"/>
                <w:kern w:val="2"/>
                <w:sz w:val="22"/>
                <w:szCs w:val="22"/>
                <w:highlight w:val="none"/>
                <w:lang w:val="en-US" w:eastAsia="zh-CN" w:bidi="ar-SA"/>
              </w:rPr>
              <w:t>）；</w:t>
            </w:r>
          </w:p>
          <w:p w14:paraId="41D61A73">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3.移动式压力容器使用登记证；</w:t>
            </w:r>
          </w:p>
          <w:p w14:paraId="4A450ED3">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4.罐体检验证书；</w:t>
            </w:r>
          </w:p>
          <w:p w14:paraId="341A10D8">
            <w:pPr>
              <w:keepNext w:val="0"/>
              <w:keepLines w:val="0"/>
              <w:pageBreakBefore w:val="0"/>
              <w:widowControl w:val="0"/>
              <w:shd w:val="clear" w:color="auto"/>
              <w:kinsoku/>
              <w:wordWrap/>
              <w:overflowPunct/>
              <w:topLinePunct w:val="0"/>
              <w:autoSpaceDE/>
              <w:autoSpaceDN/>
              <w:bidi w:val="0"/>
              <w:adjustRightInd/>
              <w:snapToGrid/>
              <w:spacing w:after="0" w:line="312" w:lineRule="auto"/>
              <w:ind w:left="0" w:right="-2" w:firstLine="0" w:firstLineChars="0"/>
              <w:jc w:val="left"/>
              <w:rPr>
                <w:rFonts w:hint="eastAsia" w:ascii="宋体" w:hAnsi="宋体" w:eastAsia="宋体" w:cs="宋体"/>
                <w:b w:val="0"/>
                <w:bCs/>
                <w:color w:val="auto"/>
                <w:kern w:val="2"/>
                <w:sz w:val="22"/>
                <w:szCs w:val="22"/>
                <w:highlight w:val="none"/>
                <w:lang w:val="en-US" w:eastAsia="zh-CN" w:bidi="ar-SA"/>
              </w:rPr>
            </w:pPr>
            <w:r>
              <w:rPr>
                <w:rFonts w:hint="eastAsia" w:ascii="宋体" w:hAnsi="宋体" w:eastAsia="宋体" w:cs="宋体"/>
                <w:b w:val="0"/>
                <w:bCs/>
                <w:color w:val="auto"/>
                <w:kern w:val="2"/>
                <w:sz w:val="22"/>
                <w:szCs w:val="22"/>
                <w:highlight w:val="none"/>
                <w:lang w:val="en-US" w:eastAsia="zh-CN" w:bidi="ar-SA"/>
              </w:rPr>
              <w:t>5.车辆租赁合同或委托第三方则提供委托合同。（租赁车辆或委托第三方的须提供）</w:t>
            </w:r>
          </w:p>
        </w:tc>
      </w:tr>
      <w:tr w14:paraId="0065A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8E8B3F">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eastAsia="zh-CN" w:bidi="ar"/>
              </w:rPr>
            </w:pPr>
            <w:r>
              <w:rPr>
                <w:rFonts w:hint="eastAsia" w:ascii="宋体" w:hAnsi="宋体" w:eastAsia="宋体" w:cs="宋体"/>
                <w:color w:val="auto"/>
                <w:kern w:val="2"/>
                <w:sz w:val="22"/>
                <w:szCs w:val="22"/>
                <w:highlight w:val="none"/>
                <w:lang w:val="en-US" w:eastAsia="zh-CN" w:bidi="ar"/>
              </w:rPr>
              <w:t>3</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8B1B8E">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bidi="ar"/>
              </w:rPr>
            </w:pPr>
            <w:r>
              <w:rPr>
                <w:rFonts w:hint="eastAsia" w:ascii="宋体" w:hAnsi="宋体" w:eastAsia="宋体" w:cs="宋体"/>
                <w:color w:val="auto"/>
                <w:kern w:val="0"/>
                <w:sz w:val="22"/>
                <w:szCs w:val="22"/>
                <w:highlight w:val="none"/>
                <w:lang w:eastAsia="zh-CN" w:bidi="ar"/>
              </w:rPr>
              <w:t>项目组人员情况</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4471A56">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8</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6AF1C16">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lang w:val="en-US" w:eastAsia="zh-CN"/>
              </w:rPr>
              <w:t>根据</w:t>
            </w:r>
            <w:r>
              <w:rPr>
                <w:rFonts w:hint="eastAsia" w:ascii="宋体" w:hAnsi="宋体" w:eastAsia="宋体" w:cs="宋体"/>
                <w:b w:val="0"/>
                <w:bCs/>
                <w:color w:val="auto"/>
                <w:kern w:val="2"/>
                <w:sz w:val="22"/>
                <w:szCs w:val="22"/>
                <w:highlight w:val="none"/>
                <w:lang w:val="en-US" w:eastAsia="zh-CN" w:bidi="ar-SA"/>
              </w:rPr>
              <w:t>供应商作业组数量进行打分，</w:t>
            </w:r>
            <w:r>
              <w:rPr>
                <w:rFonts w:hint="eastAsia" w:ascii="宋体" w:hAnsi="宋体" w:eastAsia="宋体" w:cs="宋体"/>
                <w:bCs/>
                <w:color w:val="auto"/>
                <w:sz w:val="22"/>
                <w:szCs w:val="22"/>
                <w:highlight w:val="none"/>
              </w:rPr>
              <w:t>一个完整作业组</w:t>
            </w:r>
            <w:r>
              <w:rPr>
                <w:rFonts w:hint="eastAsia" w:ascii="宋体" w:hAnsi="宋体" w:eastAsia="宋体" w:cs="宋体"/>
                <w:bCs/>
                <w:color w:val="auto"/>
                <w:sz w:val="22"/>
                <w:szCs w:val="22"/>
                <w:highlight w:val="none"/>
                <w:lang w:val="en-US" w:eastAsia="zh-CN"/>
              </w:rPr>
              <w:t>包括</w:t>
            </w:r>
            <w:r>
              <w:rPr>
                <w:rFonts w:hint="eastAsia" w:ascii="宋体" w:hAnsi="宋体" w:eastAsia="宋体" w:cs="宋体"/>
                <w:bCs/>
                <w:color w:val="auto"/>
                <w:sz w:val="22"/>
                <w:szCs w:val="22"/>
                <w:highlight w:val="none"/>
              </w:rPr>
              <w:t>“1名驾驶员 + 1名押运员”。</w:t>
            </w:r>
          </w:p>
          <w:p w14:paraId="1D5D0D14">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提供</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组及以上符合要求的作业组，得</w:t>
            </w:r>
            <w:r>
              <w:rPr>
                <w:rFonts w:hint="eastAsia" w:ascii="宋体" w:hAnsi="宋体" w:eastAsia="宋体" w:cs="宋体"/>
                <w:bCs/>
                <w:color w:val="auto"/>
                <w:sz w:val="22"/>
                <w:szCs w:val="22"/>
                <w:highlight w:val="none"/>
                <w:lang w:val="en-US" w:eastAsia="zh-CN"/>
              </w:rPr>
              <w:t>4</w:t>
            </w:r>
            <w:r>
              <w:rPr>
                <w:rFonts w:hint="eastAsia" w:ascii="宋体" w:hAnsi="宋体" w:eastAsia="宋体" w:cs="宋体"/>
                <w:bCs/>
                <w:color w:val="auto"/>
                <w:sz w:val="22"/>
                <w:szCs w:val="22"/>
                <w:highlight w:val="none"/>
              </w:rPr>
              <w:t>分；</w:t>
            </w:r>
          </w:p>
          <w:p w14:paraId="31714991">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提供</w:t>
            </w: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组及以上符合要求的作业组，得</w:t>
            </w:r>
            <w:r>
              <w:rPr>
                <w:rFonts w:hint="eastAsia" w:ascii="宋体" w:hAnsi="宋体" w:eastAsia="宋体" w:cs="宋体"/>
                <w:bCs/>
                <w:color w:val="auto"/>
                <w:sz w:val="22"/>
                <w:szCs w:val="22"/>
                <w:highlight w:val="none"/>
                <w:lang w:val="en-US" w:eastAsia="zh-CN"/>
              </w:rPr>
              <w:t>6</w:t>
            </w:r>
            <w:r>
              <w:rPr>
                <w:rFonts w:hint="eastAsia" w:ascii="宋体" w:hAnsi="宋体" w:eastAsia="宋体" w:cs="宋体"/>
                <w:bCs/>
                <w:color w:val="auto"/>
                <w:sz w:val="22"/>
                <w:szCs w:val="22"/>
                <w:highlight w:val="none"/>
              </w:rPr>
              <w:t>分；</w:t>
            </w:r>
          </w:p>
          <w:p w14:paraId="2DA13454">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提供</w:t>
            </w:r>
            <w:r>
              <w:rPr>
                <w:rFonts w:hint="eastAsia" w:ascii="宋体" w:hAnsi="宋体" w:eastAsia="宋体" w:cs="宋体"/>
                <w:bCs/>
                <w:color w:val="auto"/>
                <w:sz w:val="22"/>
                <w:szCs w:val="22"/>
                <w:highlight w:val="none"/>
                <w:lang w:val="en-US" w:eastAsia="zh-CN"/>
              </w:rPr>
              <w:t>10</w:t>
            </w:r>
            <w:r>
              <w:rPr>
                <w:rFonts w:hint="eastAsia" w:ascii="宋体" w:hAnsi="宋体" w:eastAsia="宋体" w:cs="宋体"/>
                <w:bCs/>
                <w:color w:val="auto"/>
                <w:sz w:val="22"/>
                <w:szCs w:val="22"/>
                <w:highlight w:val="none"/>
              </w:rPr>
              <w:t>组及以上符合要求的作业组，得</w:t>
            </w:r>
            <w:r>
              <w:rPr>
                <w:rFonts w:hint="eastAsia" w:ascii="宋体" w:hAnsi="宋体" w:eastAsia="宋体" w:cs="宋体"/>
                <w:bCs/>
                <w:color w:val="auto"/>
                <w:sz w:val="22"/>
                <w:szCs w:val="22"/>
                <w:highlight w:val="none"/>
                <w:lang w:val="en-US" w:eastAsia="zh-CN"/>
              </w:rPr>
              <w:t>8</w:t>
            </w:r>
            <w:r>
              <w:rPr>
                <w:rFonts w:hint="eastAsia" w:ascii="宋体" w:hAnsi="宋体" w:eastAsia="宋体" w:cs="宋体"/>
                <w:bCs/>
                <w:color w:val="auto"/>
                <w:sz w:val="22"/>
                <w:szCs w:val="22"/>
                <w:highlight w:val="none"/>
              </w:rPr>
              <w:t>分；</w:t>
            </w:r>
          </w:p>
          <w:p w14:paraId="3E2A3FDD">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人员资格及证明材料要求（须同时满足，否则该组不得分）：</w:t>
            </w:r>
          </w:p>
          <w:p w14:paraId="1A06E843">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驾驶员须提供：</w:t>
            </w:r>
            <w:r>
              <w:rPr>
                <w:rFonts w:hint="eastAsia" w:ascii="宋体" w:hAnsi="宋体" w:eastAsia="宋体" w:cs="宋体"/>
                <w:bCs/>
                <w:color w:val="auto"/>
                <w:sz w:val="22"/>
                <w:szCs w:val="22"/>
                <w:highlight w:val="none"/>
                <w:lang w:val="en-US" w:eastAsia="zh-CN"/>
              </w:rPr>
              <w:t>1.</w:t>
            </w:r>
            <w:r>
              <w:rPr>
                <w:rFonts w:hint="eastAsia" w:ascii="宋体" w:hAnsi="宋体" w:eastAsia="宋体" w:cs="宋体"/>
                <w:bCs/>
                <w:color w:val="auto"/>
                <w:sz w:val="22"/>
                <w:szCs w:val="22"/>
                <w:highlight w:val="none"/>
              </w:rPr>
              <w:t>有效的机动车驾驶证（准驾车型符合所投车辆要求）；</w:t>
            </w:r>
            <w:r>
              <w:rPr>
                <w:rFonts w:hint="eastAsia" w:ascii="宋体" w:hAnsi="宋体" w:eastAsia="宋体" w:cs="宋体"/>
                <w:bCs/>
                <w:color w:val="auto"/>
                <w:sz w:val="22"/>
                <w:szCs w:val="22"/>
                <w:highlight w:val="none"/>
                <w:lang w:val="en-US" w:eastAsia="zh-CN"/>
              </w:rPr>
              <w:t>2.</w:t>
            </w:r>
            <w:r>
              <w:rPr>
                <w:rFonts w:hint="eastAsia" w:ascii="宋体" w:hAnsi="宋体" w:eastAsia="宋体" w:cs="宋体"/>
                <w:bCs/>
                <w:color w:val="auto"/>
                <w:sz w:val="22"/>
                <w:szCs w:val="22"/>
                <w:highlight w:val="none"/>
              </w:rPr>
              <w:t>有效的《道路危险货物运输驾驶员从业资格证》。</w:t>
            </w:r>
          </w:p>
          <w:p w14:paraId="7933EB99">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rPr>
            </w:pPr>
            <w:r>
              <w:rPr>
                <w:rFonts w:hint="eastAsia" w:ascii="宋体" w:hAnsi="宋体" w:eastAsia="宋体" w:cs="宋体"/>
                <w:bCs/>
                <w:color w:val="auto"/>
                <w:sz w:val="22"/>
                <w:szCs w:val="22"/>
                <w:highlight w:val="none"/>
              </w:rPr>
              <w:t>押运员须提供：有效的《道路危险货物运输押运人员从业资格证》。</w:t>
            </w:r>
          </w:p>
          <w:p w14:paraId="455EC04D">
            <w:pPr>
              <w:keepNext w:val="0"/>
              <w:widowControl/>
              <w:shd w:val="clear" w:color="auto"/>
              <w:jc w:val="left"/>
              <w:textAlignment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rPr>
              <w:t>社保要求：上述所有人员须为投标人本单位在职员工，须提供</w:t>
            </w:r>
            <w:r>
              <w:rPr>
                <w:rFonts w:hint="eastAsia" w:ascii="宋体" w:hAnsi="宋体" w:eastAsia="宋体" w:cs="宋体"/>
                <w:bCs/>
                <w:color w:val="auto"/>
                <w:sz w:val="22"/>
                <w:szCs w:val="22"/>
                <w:highlight w:val="none"/>
                <w:lang w:val="en-US" w:eastAsia="zh-CN"/>
              </w:rPr>
              <w:t>投标截止时间前三个月任一个月份</w:t>
            </w:r>
            <w:r>
              <w:rPr>
                <w:rFonts w:hint="eastAsia" w:ascii="宋体" w:hAnsi="宋体" w:eastAsia="宋体" w:cs="宋体"/>
                <w:bCs/>
                <w:color w:val="auto"/>
                <w:sz w:val="22"/>
                <w:szCs w:val="22"/>
                <w:highlight w:val="none"/>
              </w:rPr>
              <w:t>社会保险缴纳证明，并加盖投标人公章。</w:t>
            </w:r>
          </w:p>
        </w:tc>
      </w:tr>
      <w:tr w14:paraId="7B69B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34E4180">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eastAsia="zh-CN" w:bidi="ar"/>
              </w:rPr>
            </w:pPr>
            <w:r>
              <w:rPr>
                <w:rFonts w:hint="eastAsia" w:ascii="宋体" w:hAnsi="宋体" w:eastAsia="宋体" w:cs="宋体"/>
                <w:color w:val="auto"/>
                <w:kern w:val="2"/>
                <w:sz w:val="22"/>
                <w:szCs w:val="22"/>
                <w:highlight w:val="none"/>
                <w:lang w:val="en-US" w:eastAsia="zh-CN" w:bidi="ar"/>
              </w:rPr>
              <w:t>4</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5B18CC7">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bidi="ar"/>
              </w:rPr>
            </w:pPr>
            <w:r>
              <w:rPr>
                <w:rFonts w:hint="eastAsia" w:ascii="宋体" w:hAnsi="宋体" w:eastAsia="宋体" w:cs="宋体"/>
                <w:color w:val="auto"/>
                <w:kern w:val="0"/>
                <w:sz w:val="22"/>
                <w:szCs w:val="22"/>
                <w:highlight w:val="none"/>
                <w:lang w:val="en-US" w:eastAsia="zh-CN" w:bidi="ar"/>
              </w:rPr>
              <w:t>项目负责人</w:t>
            </w:r>
            <w:r>
              <w:rPr>
                <w:rFonts w:hint="eastAsia" w:ascii="宋体" w:hAnsi="宋体" w:eastAsia="宋体" w:cs="宋体"/>
                <w:color w:val="auto"/>
                <w:kern w:val="0"/>
                <w:sz w:val="22"/>
                <w:szCs w:val="22"/>
                <w:highlight w:val="none"/>
                <w:lang w:eastAsia="zh-CN" w:bidi="ar"/>
              </w:rPr>
              <w:t>情况</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7F409DA">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5</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FF83E0B">
            <w:pPr>
              <w:keepNext w:val="0"/>
              <w:keepLines w:val="0"/>
              <w:widowControl/>
              <w:suppressLineNumbers w:val="0"/>
              <w:shd w:val="clear"/>
              <w:jc w:val="left"/>
              <w:rPr>
                <w:rFonts w:hint="eastAsia" w:ascii="宋体" w:hAnsi="宋体" w:eastAsia="宋体" w:cs="宋体"/>
                <w:bCs/>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根据项目负责人的职称、资历、工作经验等情况，由评委打分。评分范围：5、3、1、0</w:t>
            </w:r>
          </w:p>
          <w:p w14:paraId="72818E90">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rPr>
            </w:pPr>
            <w:r>
              <w:rPr>
                <w:rFonts w:hint="eastAsia" w:ascii="宋体" w:hAnsi="宋体" w:eastAsia="宋体" w:cs="宋体"/>
                <w:bCs/>
                <w:color w:val="auto"/>
                <w:sz w:val="22"/>
                <w:szCs w:val="22"/>
                <w:highlight w:val="none"/>
                <w:lang w:val="en-US" w:eastAsia="zh-CN"/>
              </w:rPr>
              <w:t>注：须提供项目负责人身份证、学历证书、资格证书（如有）、职称证书（如有）、投标截止时间前三个月任一个月份</w:t>
            </w:r>
            <w:r>
              <w:rPr>
                <w:rFonts w:hint="eastAsia" w:ascii="宋体" w:hAnsi="宋体" w:eastAsia="宋体" w:cs="宋体"/>
                <w:bCs/>
                <w:color w:val="auto"/>
                <w:sz w:val="22"/>
                <w:szCs w:val="22"/>
                <w:highlight w:val="none"/>
              </w:rPr>
              <w:t>社会保险缴纳证明</w:t>
            </w:r>
            <w:r>
              <w:rPr>
                <w:rFonts w:hint="eastAsia" w:ascii="宋体" w:hAnsi="宋体" w:eastAsia="宋体" w:cs="宋体"/>
                <w:bCs/>
                <w:color w:val="auto"/>
                <w:sz w:val="22"/>
                <w:szCs w:val="22"/>
                <w:highlight w:val="none"/>
                <w:lang w:val="en-US" w:eastAsia="zh-CN"/>
              </w:rPr>
              <w:t>等复印件。</w:t>
            </w:r>
          </w:p>
        </w:tc>
      </w:tr>
      <w:tr w14:paraId="47922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D7A67CD">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5</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3DE481C">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道路运输</w:t>
            </w:r>
            <w:r>
              <w:rPr>
                <w:rFonts w:hint="eastAsia" w:ascii="宋体" w:hAnsi="宋体" w:eastAsia="宋体" w:cs="宋体"/>
                <w:color w:val="auto"/>
                <w:sz w:val="22"/>
                <w:szCs w:val="22"/>
                <w:highlight w:val="none"/>
                <w:lang w:val="en-US"/>
              </w:rPr>
              <w:t>安全保障措施</w:t>
            </w:r>
            <w:r>
              <w:rPr>
                <w:rFonts w:hint="eastAsia" w:ascii="宋体" w:hAnsi="宋体" w:cs="宋体"/>
                <w:color w:val="auto"/>
                <w:sz w:val="22"/>
                <w:szCs w:val="22"/>
                <w:highlight w:val="none"/>
                <w:lang w:val="en-US" w:eastAsia="zh-CN"/>
              </w:rPr>
              <w:t>及</w:t>
            </w:r>
            <w:r>
              <w:rPr>
                <w:rFonts w:hint="eastAsia" w:ascii="宋体" w:hAnsi="宋体" w:eastAsia="宋体" w:cs="宋体"/>
                <w:color w:val="auto"/>
                <w:sz w:val="22"/>
                <w:szCs w:val="22"/>
                <w:highlight w:val="none"/>
              </w:rPr>
              <w:t>应急方案</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97FD22A">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cs="宋体"/>
                <w:b w:val="0"/>
                <w:bCs w:val="0"/>
                <w:color w:val="auto"/>
                <w:kern w:val="2"/>
                <w:sz w:val="22"/>
                <w:szCs w:val="22"/>
                <w:highlight w:val="none"/>
                <w:lang w:val="en-US" w:eastAsia="zh-CN" w:bidi="ar"/>
              </w:rPr>
              <w:t>8</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4360D3C">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投标供应商道路运输过程中的</w:t>
            </w:r>
            <w:r>
              <w:rPr>
                <w:rFonts w:hint="eastAsia" w:ascii="宋体" w:hAnsi="宋体" w:eastAsia="宋体" w:cs="宋体"/>
                <w:color w:val="auto"/>
                <w:sz w:val="22"/>
                <w:szCs w:val="22"/>
                <w:highlight w:val="none"/>
                <w:lang w:val="en-US"/>
              </w:rPr>
              <w:t>安全保障措施</w:t>
            </w:r>
            <w:r>
              <w:rPr>
                <w:rFonts w:hint="eastAsia" w:ascii="宋体" w:hAnsi="宋体" w:eastAsia="宋体" w:cs="宋体"/>
                <w:color w:val="auto"/>
                <w:sz w:val="22"/>
                <w:szCs w:val="22"/>
                <w:highlight w:val="none"/>
                <w:lang w:val="en-US" w:eastAsia="zh-CN"/>
              </w:rPr>
              <w:t>进行打分。评分范围：8、6、4、2、0</w:t>
            </w:r>
          </w:p>
        </w:tc>
      </w:tr>
      <w:tr w14:paraId="29063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7AE0B84">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val="en-US" w:eastAsia="zh-CN" w:bidi="ar"/>
              </w:rPr>
            </w:pPr>
            <w:r>
              <w:rPr>
                <w:rFonts w:hint="eastAsia" w:ascii="宋体" w:hAnsi="宋体" w:eastAsia="宋体" w:cs="宋体"/>
                <w:color w:val="auto"/>
                <w:kern w:val="2"/>
                <w:sz w:val="22"/>
                <w:szCs w:val="22"/>
                <w:highlight w:val="none"/>
                <w:lang w:val="en-US" w:eastAsia="zh-CN" w:bidi="ar"/>
              </w:rPr>
              <w:t>6</w:t>
            </w:r>
          </w:p>
        </w:tc>
        <w:tc>
          <w:tcPr>
            <w:tcW w:w="200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6455367C">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上下气安全保障措施</w:t>
            </w:r>
          </w:p>
        </w:tc>
        <w:tc>
          <w:tcPr>
            <w:tcW w:w="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581864F">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cs="宋体"/>
                <w:b w:val="0"/>
                <w:bCs w:val="0"/>
                <w:color w:val="auto"/>
                <w:kern w:val="2"/>
                <w:sz w:val="22"/>
                <w:szCs w:val="22"/>
                <w:highlight w:val="none"/>
                <w:lang w:val="en-US" w:eastAsia="zh-CN" w:bidi="ar"/>
              </w:rPr>
              <w:t>8</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4C9CB11">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投标供应商天然气上下气装卸过程中的</w:t>
            </w:r>
            <w:r>
              <w:rPr>
                <w:rFonts w:hint="eastAsia" w:ascii="宋体" w:hAnsi="宋体" w:eastAsia="宋体" w:cs="宋体"/>
                <w:color w:val="auto"/>
                <w:sz w:val="22"/>
                <w:szCs w:val="22"/>
                <w:highlight w:val="none"/>
                <w:lang w:val="en-US"/>
              </w:rPr>
              <w:t>安全保障措施</w:t>
            </w:r>
            <w:r>
              <w:rPr>
                <w:rFonts w:hint="eastAsia" w:ascii="宋体" w:hAnsi="宋体" w:eastAsia="宋体" w:cs="宋体"/>
                <w:color w:val="auto"/>
                <w:sz w:val="22"/>
                <w:szCs w:val="22"/>
                <w:highlight w:val="none"/>
                <w:lang w:val="en-US" w:eastAsia="zh-CN"/>
              </w:rPr>
              <w:t>进行打分。评分范围：8、6、4、2、0</w:t>
            </w:r>
          </w:p>
        </w:tc>
      </w:tr>
      <w:tr w14:paraId="6A5B2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right w:val="single" w:color="auto" w:sz="4" w:space="0"/>
            </w:tcBorders>
            <w:shd w:val="clear" w:color="auto" w:fill="auto"/>
            <w:noWrap w:val="0"/>
            <w:vAlign w:val="center"/>
          </w:tcPr>
          <w:p w14:paraId="5C77F8C8">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eastAsia="zh-CN" w:bidi="ar"/>
              </w:rPr>
            </w:pPr>
            <w:r>
              <w:rPr>
                <w:rFonts w:hint="eastAsia" w:ascii="宋体" w:hAnsi="宋体" w:eastAsia="宋体" w:cs="宋体"/>
                <w:color w:val="auto"/>
                <w:kern w:val="2"/>
                <w:sz w:val="22"/>
                <w:szCs w:val="22"/>
                <w:highlight w:val="none"/>
                <w:lang w:val="en-US" w:eastAsia="zh-CN" w:bidi="ar"/>
              </w:rPr>
              <w:t>7</w:t>
            </w:r>
          </w:p>
        </w:tc>
        <w:tc>
          <w:tcPr>
            <w:tcW w:w="2007" w:type="dxa"/>
            <w:tcBorders>
              <w:left w:val="single" w:color="auto" w:sz="4" w:space="0"/>
              <w:right w:val="single" w:color="auto" w:sz="4" w:space="0"/>
            </w:tcBorders>
            <w:shd w:val="clear" w:color="auto" w:fill="auto"/>
            <w:noWrap w:val="0"/>
            <w:vAlign w:val="center"/>
          </w:tcPr>
          <w:p w14:paraId="28456E10">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2"/>
                <w:sz w:val="22"/>
                <w:szCs w:val="22"/>
                <w:highlight w:val="none"/>
                <w:lang w:eastAsia="zh-CN" w:bidi="ar"/>
              </w:rPr>
            </w:pPr>
            <w:r>
              <w:rPr>
                <w:rFonts w:hint="eastAsia" w:ascii="宋体" w:hAnsi="宋体" w:eastAsia="宋体" w:cs="宋体"/>
                <w:color w:val="auto"/>
                <w:sz w:val="22"/>
                <w:szCs w:val="22"/>
                <w:highlight w:val="none"/>
              </w:rPr>
              <w:t>道路运输方案</w:t>
            </w:r>
          </w:p>
        </w:tc>
        <w:tc>
          <w:tcPr>
            <w:tcW w:w="725" w:type="dxa"/>
            <w:tcBorders>
              <w:left w:val="single" w:color="auto" w:sz="4" w:space="0"/>
              <w:right w:val="single" w:color="auto" w:sz="4" w:space="0"/>
            </w:tcBorders>
            <w:shd w:val="clear" w:color="auto" w:fill="auto"/>
            <w:noWrap w:val="0"/>
            <w:vAlign w:val="center"/>
          </w:tcPr>
          <w:p w14:paraId="70EFF96E">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kern w:val="2"/>
                <w:sz w:val="22"/>
                <w:szCs w:val="22"/>
                <w:highlight w:val="none"/>
                <w:lang w:val="en-US" w:eastAsia="zh-CN" w:bidi="ar"/>
              </w:rPr>
            </w:pPr>
            <w:r>
              <w:rPr>
                <w:rFonts w:hint="eastAsia" w:ascii="宋体" w:hAnsi="宋体" w:eastAsia="宋体" w:cs="宋体"/>
                <w:b w:val="0"/>
                <w:bCs w:val="0"/>
                <w:color w:val="auto"/>
                <w:kern w:val="2"/>
                <w:sz w:val="22"/>
                <w:szCs w:val="22"/>
                <w:highlight w:val="none"/>
                <w:lang w:val="en-US" w:eastAsia="zh-CN" w:bidi="ar"/>
              </w:rPr>
              <w:t>8</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BE16F8F">
            <w:pPr>
              <w:keepNext w:val="0"/>
              <w:keepLines w:val="0"/>
              <w:widowControl/>
              <w:suppressLineNumbers w:val="0"/>
              <w:shd w:val="clear"/>
              <w:jc w:val="left"/>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rPr>
              <w:t>根据</w:t>
            </w:r>
            <w:r>
              <w:rPr>
                <w:rFonts w:hint="eastAsia" w:ascii="宋体" w:hAnsi="宋体" w:eastAsia="宋体" w:cs="宋体"/>
                <w:color w:val="auto"/>
                <w:sz w:val="22"/>
                <w:szCs w:val="22"/>
                <w:highlight w:val="none"/>
                <w:lang w:val="en-US" w:eastAsia="zh-CN"/>
              </w:rPr>
              <w:t>投标供应商</w:t>
            </w:r>
            <w:r>
              <w:rPr>
                <w:rFonts w:hint="eastAsia" w:ascii="宋体" w:hAnsi="宋体" w:eastAsia="宋体" w:cs="宋体"/>
                <w:color w:val="auto"/>
                <w:sz w:val="22"/>
                <w:szCs w:val="22"/>
                <w:highlight w:val="none"/>
              </w:rPr>
              <w:t>针对本项目的运输</w:t>
            </w:r>
            <w:r>
              <w:rPr>
                <w:rFonts w:hint="eastAsia" w:ascii="宋体" w:hAnsi="宋体" w:eastAsia="宋体" w:cs="宋体"/>
                <w:color w:val="auto"/>
                <w:sz w:val="22"/>
                <w:szCs w:val="22"/>
                <w:highlight w:val="none"/>
                <w:lang w:val="en-US" w:eastAsia="zh-CN"/>
              </w:rPr>
              <w:t>流程</w:t>
            </w:r>
            <w:r>
              <w:rPr>
                <w:rFonts w:hint="eastAsia" w:ascii="宋体" w:hAnsi="宋体" w:eastAsia="宋体" w:cs="宋体"/>
                <w:color w:val="auto"/>
                <w:sz w:val="22"/>
                <w:szCs w:val="22"/>
                <w:highlight w:val="none"/>
                <w:lang w:eastAsia="zh-CN"/>
              </w:rPr>
              <w:t>，</w:t>
            </w:r>
            <w:r>
              <w:rPr>
                <w:rFonts w:hint="eastAsia" w:ascii="宋体" w:hAnsi="宋体" w:eastAsia="宋体" w:cs="宋体"/>
                <w:color w:val="auto"/>
                <w:sz w:val="22"/>
                <w:szCs w:val="22"/>
                <w:highlight w:val="none"/>
              </w:rPr>
              <w:t>提供液化</w:t>
            </w:r>
            <w:r>
              <w:rPr>
                <w:rFonts w:hint="eastAsia" w:ascii="宋体" w:hAnsi="宋体" w:eastAsia="宋体" w:cs="宋体"/>
                <w:color w:val="auto"/>
                <w:sz w:val="22"/>
                <w:szCs w:val="22"/>
                <w:highlight w:val="none"/>
                <w:lang w:val="en-US" w:eastAsia="zh-CN"/>
              </w:rPr>
              <w:t>天然气</w:t>
            </w:r>
            <w:r>
              <w:rPr>
                <w:rFonts w:hint="eastAsia" w:ascii="宋体" w:hAnsi="宋体" w:eastAsia="宋体" w:cs="宋体"/>
                <w:color w:val="auto"/>
                <w:sz w:val="22"/>
                <w:szCs w:val="22"/>
                <w:highlight w:val="none"/>
              </w:rPr>
              <w:t>道路运输方案的可行性、安全性、合理性等措施</w:t>
            </w:r>
            <w:r>
              <w:rPr>
                <w:rFonts w:hint="eastAsia" w:ascii="宋体" w:hAnsi="宋体" w:eastAsia="宋体" w:cs="宋体"/>
                <w:color w:val="auto"/>
                <w:sz w:val="22"/>
                <w:szCs w:val="22"/>
                <w:highlight w:val="none"/>
                <w:lang w:val="en-US" w:eastAsia="zh-CN"/>
              </w:rPr>
              <w:t>由评标委员会进行打分。评分范围：8、6、4、2、0</w:t>
            </w:r>
          </w:p>
        </w:tc>
      </w:tr>
      <w:tr w14:paraId="24B35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right w:val="single" w:color="auto" w:sz="4" w:space="0"/>
            </w:tcBorders>
            <w:shd w:val="clear" w:color="auto" w:fill="auto"/>
            <w:noWrap w:val="0"/>
            <w:vAlign w:val="center"/>
          </w:tcPr>
          <w:p w14:paraId="520BF239">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8</w:t>
            </w:r>
          </w:p>
        </w:tc>
        <w:tc>
          <w:tcPr>
            <w:tcW w:w="2007" w:type="dxa"/>
            <w:tcBorders>
              <w:left w:val="single" w:color="auto" w:sz="4" w:space="0"/>
              <w:right w:val="single" w:color="auto" w:sz="4" w:space="0"/>
            </w:tcBorders>
            <w:shd w:val="clear" w:color="auto" w:fill="auto"/>
            <w:noWrap w:val="0"/>
            <w:vAlign w:val="center"/>
          </w:tcPr>
          <w:p w14:paraId="2A146CD0">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lang w:val="en-US" w:eastAsia="zh-CN"/>
              </w:rPr>
              <w:t>极端天气</w:t>
            </w:r>
            <w:r>
              <w:rPr>
                <w:rFonts w:hint="eastAsia" w:ascii="宋体" w:hAnsi="宋体" w:eastAsia="宋体" w:cs="宋体"/>
                <w:color w:val="auto"/>
                <w:sz w:val="22"/>
                <w:szCs w:val="22"/>
                <w:highlight w:val="none"/>
              </w:rPr>
              <w:t>应急服务方案</w:t>
            </w:r>
          </w:p>
        </w:tc>
        <w:tc>
          <w:tcPr>
            <w:tcW w:w="725" w:type="dxa"/>
            <w:tcBorders>
              <w:left w:val="single" w:color="auto" w:sz="4" w:space="0"/>
              <w:right w:val="single" w:color="auto" w:sz="4" w:space="0"/>
            </w:tcBorders>
            <w:shd w:val="clear" w:color="auto" w:fill="auto"/>
            <w:noWrap w:val="0"/>
            <w:vAlign w:val="center"/>
          </w:tcPr>
          <w:p w14:paraId="036619E6">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6</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C06586B">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投标供应商</w:t>
            </w:r>
            <w:r>
              <w:rPr>
                <w:rFonts w:hint="eastAsia" w:ascii="宋体" w:hAnsi="宋体" w:eastAsia="宋体" w:cs="宋体"/>
                <w:color w:val="auto"/>
                <w:sz w:val="22"/>
                <w:szCs w:val="22"/>
                <w:highlight w:val="none"/>
              </w:rPr>
              <w:t>针对</w:t>
            </w:r>
            <w:r>
              <w:rPr>
                <w:rFonts w:hint="eastAsia" w:ascii="宋体" w:hAnsi="宋体" w:eastAsia="宋体" w:cs="宋体"/>
                <w:color w:val="auto"/>
                <w:sz w:val="22"/>
                <w:szCs w:val="22"/>
                <w:highlight w:val="none"/>
                <w:lang w:val="en-US" w:eastAsia="zh-CN"/>
              </w:rPr>
              <w:t>极端天气情况</w:t>
            </w:r>
            <w:r>
              <w:rPr>
                <w:rFonts w:hint="eastAsia" w:ascii="宋体" w:hAnsi="宋体" w:eastAsia="宋体" w:cs="宋体"/>
                <w:color w:val="auto"/>
                <w:sz w:val="22"/>
                <w:szCs w:val="22"/>
                <w:highlight w:val="none"/>
              </w:rPr>
              <w:t>制订的紧急预案与配备的应急响应装备，</w:t>
            </w:r>
            <w:r>
              <w:rPr>
                <w:rFonts w:hint="eastAsia" w:ascii="宋体" w:hAnsi="宋体" w:eastAsia="宋体" w:cs="宋体"/>
                <w:color w:val="auto"/>
                <w:sz w:val="22"/>
                <w:szCs w:val="22"/>
                <w:highlight w:val="none"/>
                <w:lang w:val="en-US" w:eastAsia="zh-CN"/>
              </w:rPr>
              <w:t>由评标委员会进行打分。评分范围：6、4、2、0</w:t>
            </w:r>
          </w:p>
        </w:tc>
      </w:tr>
      <w:tr w14:paraId="4420A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right w:val="single" w:color="auto" w:sz="4" w:space="0"/>
            </w:tcBorders>
            <w:shd w:val="clear" w:color="auto" w:fill="auto"/>
            <w:noWrap w:val="0"/>
            <w:vAlign w:val="center"/>
          </w:tcPr>
          <w:p w14:paraId="27116E9D">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9</w:t>
            </w:r>
          </w:p>
        </w:tc>
        <w:tc>
          <w:tcPr>
            <w:tcW w:w="2007" w:type="dxa"/>
            <w:tcBorders>
              <w:left w:val="single" w:color="auto" w:sz="4" w:space="0"/>
              <w:right w:val="single" w:color="auto" w:sz="4" w:space="0"/>
            </w:tcBorders>
            <w:shd w:val="clear" w:color="auto" w:fill="auto"/>
            <w:noWrap w:val="0"/>
            <w:vAlign w:val="center"/>
          </w:tcPr>
          <w:p w14:paraId="71D32B44">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lang w:val="en-US" w:eastAsia="zh-CN"/>
              </w:rPr>
              <w:t>日常管理</w:t>
            </w:r>
            <w:r>
              <w:rPr>
                <w:rFonts w:hint="eastAsia" w:ascii="宋体" w:hAnsi="宋体" w:eastAsia="宋体" w:cs="宋体"/>
                <w:color w:val="auto"/>
                <w:kern w:val="0"/>
                <w:sz w:val="22"/>
                <w:szCs w:val="22"/>
                <w:highlight w:val="none"/>
              </w:rPr>
              <w:t>方案</w:t>
            </w:r>
          </w:p>
        </w:tc>
        <w:tc>
          <w:tcPr>
            <w:tcW w:w="725" w:type="dxa"/>
            <w:tcBorders>
              <w:left w:val="single" w:color="auto" w:sz="4" w:space="0"/>
              <w:right w:val="single" w:color="auto" w:sz="4" w:space="0"/>
            </w:tcBorders>
            <w:shd w:val="clear" w:color="auto" w:fill="auto"/>
            <w:noWrap w:val="0"/>
            <w:vAlign w:val="center"/>
          </w:tcPr>
          <w:p w14:paraId="5BDB0F69">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6</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48CD7E6E">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color w:val="auto"/>
                <w:sz w:val="22"/>
                <w:szCs w:val="22"/>
                <w:highlight w:val="none"/>
                <w:lang w:val="en-US" w:eastAsia="zh-CN"/>
              </w:rPr>
            </w:pPr>
            <w:r>
              <w:rPr>
                <w:rFonts w:hint="eastAsia" w:ascii="宋体" w:hAnsi="宋体" w:eastAsia="宋体" w:cs="宋体"/>
                <w:bCs/>
                <w:color w:val="auto"/>
                <w:sz w:val="22"/>
                <w:szCs w:val="22"/>
                <w:highlight w:val="none"/>
                <w:lang w:val="en-US" w:eastAsia="zh-CN"/>
              </w:rPr>
              <w:t>根据</w:t>
            </w:r>
            <w:r>
              <w:rPr>
                <w:rFonts w:hint="eastAsia" w:ascii="宋体" w:hAnsi="宋体" w:eastAsia="宋体" w:cs="宋体"/>
                <w:color w:val="auto"/>
                <w:sz w:val="22"/>
                <w:szCs w:val="22"/>
                <w:highlight w:val="none"/>
                <w:lang w:val="en-US" w:eastAsia="zh-CN"/>
              </w:rPr>
              <w:t>投标供应商</w:t>
            </w:r>
            <w:r>
              <w:rPr>
                <w:rFonts w:hint="eastAsia" w:ascii="宋体" w:hAnsi="宋体" w:eastAsia="宋体" w:cs="宋体"/>
                <w:bCs/>
                <w:color w:val="auto"/>
                <w:sz w:val="22"/>
                <w:szCs w:val="22"/>
                <w:highlight w:val="none"/>
                <w:lang w:val="en-US" w:eastAsia="zh-CN"/>
              </w:rPr>
              <w:t>提供的</w:t>
            </w:r>
            <w:r>
              <w:rPr>
                <w:rFonts w:hint="eastAsia" w:ascii="宋体" w:hAnsi="宋体" w:eastAsia="宋体" w:cs="宋体"/>
                <w:bCs/>
                <w:color w:val="auto"/>
                <w:sz w:val="22"/>
                <w:szCs w:val="22"/>
                <w:highlight w:val="none"/>
              </w:rPr>
              <w:t>车辆管理、驾驶员管理、行车安全档案</w:t>
            </w:r>
            <w:r>
              <w:rPr>
                <w:rFonts w:hint="eastAsia" w:ascii="宋体" w:hAnsi="宋体" w:eastAsia="宋体" w:cs="宋体"/>
                <w:bCs/>
                <w:color w:val="auto"/>
                <w:sz w:val="22"/>
                <w:szCs w:val="22"/>
                <w:highlight w:val="none"/>
                <w:lang w:val="en-US" w:eastAsia="zh-CN"/>
              </w:rPr>
              <w:t>记录</w:t>
            </w:r>
            <w:r>
              <w:rPr>
                <w:rFonts w:hint="eastAsia" w:ascii="宋体" w:hAnsi="宋体" w:eastAsia="宋体" w:cs="宋体"/>
                <w:bCs/>
                <w:color w:val="auto"/>
                <w:sz w:val="22"/>
                <w:szCs w:val="22"/>
                <w:highlight w:val="none"/>
              </w:rPr>
              <w:t>、GPS监控和行驶记录仪监管使用</w:t>
            </w:r>
            <w:r>
              <w:rPr>
                <w:rFonts w:hint="eastAsia" w:ascii="宋体" w:hAnsi="宋体" w:eastAsia="宋体" w:cs="宋体"/>
                <w:bCs/>
                <w:color w:val="auto"/>
                <w:sz w:val="22"/>
                <w:szCs w:val="22"/>
                <w:highlight w:val="none"/>
                <w:lang w:val="en-US" w:eastAsia="zh-CN"/>
              </w:rPr>
              <w:t>记录</w:t>
            </w:r>
            <w:r>
              <w:rPr>
                <w:rFonts w:hint="eastAsia" w:ascii="宋体" w:hAnsi="宋体" w:eastAsia="宋体" w:cs="宋体"/>
                <w:bCs/>
                <w:color w:val="auto"/>
                <w:sz w:val="22"/>
                <w:szCs w:val="22"/>
                <w:highlight w:val="none"/>
              </w:rPr>
              <w:t>、行车安全监督检查、驾驶员操作规程、运输装卸</w:t>
            </w:r>
            <w:r>
              <w:rPr>
                <w:rFonts w:hint="eastAsia" w:ascii="宋体" w:hAnsi="宋体" w:eastAsia="宋体" w:cs="宋体"/>
                <w:bCs/>
                <w:color w:val="auto"/>
                <w:sz w:val="22"/>
                <w:szCs w:val="22"/>
                <w:highlight w:val="none"/>
                <w:lang w:eastAsia="zh-CN"/>
              </w:rPr>
              <w:t>员和</w:t>
            </w:r>
            <w:r>
              <w:rPr>
                <w:rFonts w:hint="eastAsia" w:ascii="宋体" w:hAnsi="宋体" w:eastAsia="宋体" w:cs="宋体"/>
                <w:bCs/>
                <w:color w:val="auto"/>
                <w:sz w:val="22"/>
                <w:szCs w:val="22"/>
                <w:highlight w:val="none"/>
              </w:rPr>
              <w:t>押运员操作规程</w:t>
            </w:r>
            <w:r>
              <w:rPr>
                <w:rFonts w:hint="eastAsia" w:ascii="宋体" w:hAnsi="宋体" w:eastAsia="宋体" w:cs="宋体"/>
                <w:bCs/>
                <w:color w:val="auto"/>
                <w:sz w:val="22"/>
                <w:szCs w:val="22"/>
                <w:highlight w:val="none"/>
                <w:lang w:val="en-US" w:eastAsia="zh-CN"/>
              </w:rPr>
              <w:t>进行</w:t>
            </w:r>
            <w:r>
              <w:rPr>
                <w:rFonts w:hint="eastAsia" w:ascii="宋体" w:hAnsi="宋体" w:eastAsia="宋体" w:cs="宋体"/>
                <w:bCs/>
                <w:color w:val="auto"/>
                <w:sz w:val="22"/>
                <w:szCs w:val="22"/>
                <w:highlight w:val="none"/>
              </w:rPr>
              <w:t>评分。</w:t>
            </w:r>
            <w:r>
              <w:rPr>
                <w:rFonts w:hint="eastAsia" w:ascii="宋体" w:hAnsi="宋体" w:eastAsia="宋体" w:cs="宋体"/>
                <w:color w:val="auto"/>
                <w:sz w:val="22"/>
                <w:szCs w:val="22"/>
                <w:highlight w:val="none"/>
                <w:lang w:val="en-US" w:eastAsia="zh-CN"/>
              </w:rPr>
              <w:t>评分范围：6、4、2、0</w:t>
            </w:r>
          </w:p>
        </w:tc>
      </w:tr>
      <w:tr w14:paraId="1578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jc w:val="center"/>
        </w:trPr>
        <w:tc>
          <w:tcPr>
            <w:tcW w:w="814" w:type="dxa"/>
            <w:tcBorders>
              <w:left w:val="single" w:color="auto" w:sz="4" w:space="0"/>
              <w:right w:val="single" w:color="auto" w:sz="4" w:space="0"/>
            </w:tcBorders>
            <w:shd w:val="clear" w:color="auto" w:fill="auto"/>
            <w:noWrap w:val="0"/>
            <w:vAlign w:val="center"/>
          </w:tcPr>
          <w:p w14:paraId="6982F029">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default" w:ascii="宋体" w:hAnsi="宋体" w:eastAsia="宋体" w:cs="宋体"/>
                <w:color w:val="auto"/>
                <w:sz w:val="22"/>
                <w:szCs w:val="22"/>
                <w:highlight w:val="none"/>
                <w:lang w:val="en-US" w:eastAsia="zh-CN"/>
              </w:rPr>
            </w:pPr>
            <w:r>
              <w:rPr>
                <w:rFonts w:hint="eastAsia" w:ascii="宋体" w:hAnsi="宋体" w:cs="宋体"/>
                <w:color w:val="auto"/>
                <w:sz w:val="22"/>
                <w:szCs w:val="22"/>
                <w:highlight w:val="none"/>
                <w:lang w:val="en-US" w:eastAsia="zh-CN"/>
              </w:rPr>
              <w:t>10</w:t>
            </w:r>
          </w:p>
        </w:tc>
        <w:tc>
          <w:tcPr>
            <w:tcW w:w="2007" w:type="dxa"/>
            <w:tcBorders>
              <w:left w:val="single" w:color="auto" w:sz="4" w:space="0"/>
              <w:right w:val="single" w:color="auto" w:sz="4" w:space="0"/>
            </w:tcBorders>
            <w:shd w:val="clear" w:color="auto" w:fill="auto"/>
            <w:noWrap w:val="0"/>
            <w:vAlign w:val="center"/>
          </w:tcPr>
          <w:p w14:paraId="46DBAA69">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color w:val="auto"/>
                <w:kern w:val="0"/>
                <w:sz w:val="22"/>
                <w:szCs w:val="22"/>
                <w:highlight w:val="none"/>
                <w:lang w:val="en-US" w:eastAsia="zh-CN"/>
              </w:rPr>
            </w:pPr>
            <w:r>
              <w:rPr>
                <w:rFonts w:hint="eastAsia" w:ascii="宋体" w:hAnsi="宋体" w:eastAsia="宋体" w:cs="宋体"/>
                <w:color w:val="auto"/>
                <w:kern w:val="0"/>
                <w:sz w:val="22"/>
                <w:szCs w:val="22"/>
                <w:highlight w:val="none"/>
                <w:lang w:val="en-US" w:eastAsia="zh-CN"/>
              </w:rPr>
              <w:t>气站维护方案及应急预案</w:t>
            </w:r>
          </w:p>
        </w:tc>
        <w:tc>
          <w:tcPr>
            <w:tcW w:w="725" w:type="dxa"/>
            <w:tcBorders>
              <w:left w:val="single" w:color="auto" w:sz="4" w:space="0"/>
              <w:right w:val="single" w:color="auto" w:sz="4" w:space="0"/>
            </w:tcBorders>
            <w:shd w:val="clear" w:color="auto" w:fill="auto"/>
            <w:noWrap w:val="0"/>
            <w:vAlign w:val="center"/>
          </w:tcPr>
          <w:p w14:paraId="6F8B93FE">
            <w:pPr>
              <w:keepNext w:val="0"/>
              <w:keepLines w:val="0"/>
              <w:pageBreakBefore w:val="0"/>
              <w:widowControl/>
              <w:shd w:val="clear" w:color="auto"/>
              <w:kinsoku/>
              <w:wordWrap/>
              <w:overflowPunct/>
              <w:topLinePunct w:val="0"/>
              <w:autoSpaceDE/>
              <w:autoSpaceDN/>
              <w:bidi w:val="0"/>
              <w:adjustRightInd/>
              <w:snapToGrid/>
              <w:jc w:val="center"/>
              <w:textAlignment w:val="center"/>
              <w:rPr>
                <w:rFonts w:hint="eastAsia" w:ascii="宋体" w:hAnsi="宋体" w:eastAsia="宋体" w:cs="宋体"/>
                <w:b w:val="0"/>
                <w:bCs w:val="0"/>
                <w:color w:val="auto"/>
                <w:sz w:val="22"/>
                <w:szCs w:val="22"/>
                <w:highlight w:val="none"/>
                <w:lang w:val="en-US" w:eastAsia="zh-CN"/>
              </w:rPr>
            </w:pPr>
            <w:r>
              <w:rPr>
                <w:rFonts w:hint="eastAsia" w:ascii="宋体" w:hAnsi="宋体" w:eastAsia="宋体" w:cs="宋体"/>
                <w:b w:val="0"/>
                <w:bCs w:val="0"/>
                <w:color w:val="auto"/>
                <w:sz w:val="22"/>
                <w:szCs w:val="22"/>
                <w:highlight w:val="none"/>
                <w:lang w:val="en-US" w:eastAsia="zh-CN"/>
              </w:rPr>
              <w:t>10</w:t>
            </w:r>
          </w:p>
        </w:tc>
        <w:tc>
          <w:tcPr>
            <w:tcW w:w="615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5819F592">
            <w:pPr>
              <w:keepNext w:val="0"/>
              <w:keepLines w:val="0"/>
              <w:pageBreakBefore w:val="0"/>
              <w:widowControl/>
              <w:shd w:val="clear" w:color="auto"/>
              <w:kinsoku/>
              <w:wordWrap/>
              <w:overflowPunct/>
              <w:topLinePunct w:val="0"/>
              <w:autoSpaceDE/>
              <w:autoSpaceDN/>
              <w:bidi w:val="0"/>
              <w:adjustRightInd/>
              <w:snapToGrid/>
              <w:jc w:val="left"/>
              <w:textAlignment w:val="center"/>
              <w:rPr>
                <w:rFonts w:hint="eastAsia" w:ascii="宋体" w:hAnsi="宋体" w:eastAsia="宋体" w:cs="宋体"/>
                <w:bCs/>
                <w:color w:val="auto"/>
                <w:sz w:val="22"/>
                <w:szCs w:val="22"/>
                <w:highlight w:val="none"/>
                <w:lang w:val="en-US" w:eastAsia="zh-CN"/>
              </w:rPr>
            </w:pPr>
            <w:r>
              <w:rPr>
                <w:rFonts w:hint="eastAsia" w:ascii="宋体" w:hAnsi="宋体" w:eastAsia="宋体" w:cs="宋体"/>
                <w:color w:val="auto"/>
                <w:sz w:val="22"/>
                <w:szCs w:val="22"/>
                <w:highlight w:val="none"/>
                <w:lang w:val="en-US" w:eastAsia="zh-CN"/>
              </w:rPr>
              <w:t>投标供应商</w:t>
            </w:r>
            <w:r>
              <w:rPr>
                <w:rFonts w:hint="eastAsia" w:ascii="宋体" w:hAnsi="宋体" w:eastAsia="宋体" w:cs="宋体"/>
                <w:color w:val="auto"/>
                <w:sz w:val="22"/>
                <w:szCs w:val="22"/>
                <w:highlight w:val="none"/>
              </w:rPr>
              <w:t>针对</w:t>
            </w:r>
            <w:r>
              <w:rPr>
                <w:rFonts w:hint="eastAsia" w:ascii="宋体" w:hAnsi="宋体" w:eastAsia="宋体" w:cs="宋体"/>
                <w:color w:val="auto"/>
                <w:sz w:val="22"/>
                <w:szCs w:val="22"/>
                <w:highlight w:val="none"/>
                <w:lang w:val="en-US" w:eastAsia="zh-CN"/>
              </w:rPr>
              <w:t>气站的维护方案及应急预案</w:t>
            </w:r>
            <w:r>
              <w:rPr>
                <w:rFonts w:hint="eastAsia" w:ascii="宋体" w:hAnsi="宋体" w:eastAsia="宋体" w:cs="宋体"/>
                <w:color w:val="auto"/>
                <w:sz w:val="22"/>
                <w:szCs w:val="22"/>
                <w:highlight w:val="none"/>
              </w:rPr>
              <w:t>，</w:t>
            </w:r>
            <w:r>
              <w:rPr>
                <w:rFonts w:hint="eastAsia" w:ascii="宋体" w:hAnsi="宋体" w:eastAsia="宋体" w:cs="宋体"/>
                <w:color w:val="auto"/>
                <w:sz w:val="22"/>
                <w:szCs w:val="22"/>
                <w:highlight w:val="none"/>
                <w:lang w:val="en-US" w:eastAsia="zh-CN"/>
              </w:rPr>
              <w:t>由评标委员会进行打分。评分范围：10、8、6、4、2、0</w:t>
            </w:r>
          </w:p>
        </w:tc>
      </w:tr>
    </w:tbl>
    <w:p w14:paraId="7C805109">
      <w:pPr>
        <w:pStyle w:val="22"/>
        <w:rPr>
          <w:rFonts w:hint="eastAsia" w:ascii="宋体" w:hAnsi="宋体" w:eastAsia="宋体" w:cs="宋体"/>
          <w:color w:val="auto"/>
          <w:highlight w:val="none"/>
        </w:rPr>
      </w:pPr>
    </w:p>
    <w:p w14:paraId="55F72289">
      <w:pPr>
        <w:pStyle w:val="14"/>
        <w:wordWrap w:val="0"/>
        <w:adjustRightInd w:val="0"/>
        <w:snapToGrid w:val="0"/>
        <w:spacing w:line="360" w:lineRule="auto"/>
        <w:outlineLvl w:val="1"/>
        <w:rPr>
          <w:rFonts w:hint="eastAsia" w:ascii="宋体" w:hAnsi="宋体" w:eastAsia="宋体" w:cs="宋体"/>
          <w:color w:val="auto"/>
          <w:sz w:val="22"/>
          <w:szCs w:val="22"/>
          <w:highlight w:val="none"/>
        </w:rPr>
      </w:pPr>
      <w:bookmarkStart w:id="165" w:name="_Toc16891"/>
      <w:bookmarkStart w:id="166" w:name="_Toc22072"/>
      <w:bookmarkStart w:id="167" w:name="_Toc31681"/>
      <w:bookmarkStart w:id="168" w:name="_Toc17023"/>
      <w:bookmarkStart w:id="169" w:name="_Toc22569"/>
      <w:r>
        <w:rPr>
          <w:rFonts w:hint="eastAsia" w:ascii="宋体" w:hAnsi="宋体" w:eastAsia="宋体" w:cs="宋体"/>
          <w:color w:val="auto"/>
          <w:sz w:val="22"/>
          <w:szCs w:val="22"/>
          <w:highlight w:val="none"/>
        </w:rPr>
        <w:t>三、说明</w:t>
      </w:r>
      <w:bookmarkEnd w:id="165"/>
      <w:bookmarkEnd w:id="166"/>
      <w:bookmarkEnd w:id="167"/>
      <w:bookmarkEnd w:id="168"/>
      <w:bookmarkEnd w:id="169"/>
    </w:p>
    <w:p w14:paraId="664A77C4">
      <w:pPr>
        <w:pStyle w:val="16"/>
        <w:widowControl w:val="0"/>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1、每个供应商最终得分=商务、技术部分分值（所有评标委员会成员的算术平均值）＋报价部分分值。</w:t>
      </w:r>
    </w:p>
    <w:p w14:paraId="03FAE9B0">
      <w:pPr>
        <w:pStyle w:val="16"/>
        <w:widowControl w:val="0"/>
        <w:wordWrap w:val="0"/>
        <w:adjustRightInd w:val="0"/>
        <w:snapToGrid w:val="0"/>
        <w:spacing w:line="360" w:lineRule="auto"/>
        <w:ind w:firstLine="440" w:firstLineChars="200"/>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2、所有分值计算保留小数点后两位，小数点后三位四舍五入。</w:t>
      </w:r>
    </w:p>
    <w:p w14:paraId="5296F6DC">
      <w:pPr>
        <w:pStyle w:val="16"/>
        <w:widowControl w:val="0"/>
        <w:wordWrap w:val="0"/>
        <w:adjustRightInd w:val="0"/>
        <w:snapToGrid w:val="0"/>
        <w:spacing w:line="360" w:lineRule="auto"/>
        <w:ind w:firstLine="440" w:firstLineChars="200"/>
        <w:rPr>
          <w:rFonts w:hint="eastAsia" w:ascii="宋体" w:hAnsi="宋体" w:eastAsia="宋体" w:cs="宋体"/>
          <w:color w:val="auto"/>
          <w:sz w:val="22"/>
          <w:szCs w:val="22"/>
          <w:highlight w:val="none"/>
        </w:rPr>
      </w:pPr>
    </w:p>
    <w:p w14:paraId="2F7A3DB6">
      <w:pPr>
        <w:pStyle w:val="16"/>
        <w:widowControl w:val="0"/>
        <w:wordWrap w:val="0"/>
        <w:adjustRightInd w:val="0"/>
        <w:snapToGrid w:val="0"/>
        <w:spacing w:line="360" w:lineRule="auto"/>
        <w:ind w:firstLine="440" w:firstLineChars="200"/>
        <w:rPr>
          <w:rFonts w:hint="eastAsia" w:ascii="宋体" w:hAnsi="宋体" w:eastAsia="宋体" w:cs="宋体"/>
          <w:color w:val="auto"/>
          <w:sz w:val="22"/>
          <w:szCs w:val="22"/>
          <w:highlight w:val="none"/>
        </w:rPr>
      </w:pPr>
    </w:p>
    <w:p w14:paraId="4FE44746">
      <w:pPr>
        <w:pStyle w:val="54"/>
        <w:widowControl w:val="0"/>
        <w:wordWrap w:val="0"/>
        <w:snapToGrid w:val="0"/>
        <w:spacing w:line="360" w:lineRule="auto"/>
        <w:ind w:firstLine="2560" w:firstLineChars="800"/>
        <w:rPr>
          <w:rFonts w:hint="eastAsia" w:ascii="宋体" w:hAnsi="宋体" w:eastAsia="宋体" w:cs="宋体"/>
          <w:color w:val="auto"/>
          <w:sz w:val="32"/>
          <w:szCs w:val="32"/>
          <w:highlight w:val="none"/>
        </w:rPr>
      </w:pPr>
    </w:p>
    <w:p w14:paraId="4DF2D2B4">
      <w:pPr>
        <w:pStyle w:val="54"/>
        <w:widowControl w:val="0"/>
        <w:wordWrap w:val="0"/>
        <w:snapToGrid w:val="0"/>
        <w:spacing w:line="360" w:lineRule="auto"/>
        <w:ind w:firstLine="2570" w:firstLineChars="800"/>
        <w:outlineLvl w:val="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br w:type="page"/>
      </w:r>
      <w:bookmarkStart w:id="170" w:name="_Toc2690"/>
      <w:bookmarkStart w:id="171" w:name="_Toc8873"/>
      <w:r>
        <w:rPr>
          <w:rFonts w:hint="eastAsia" w:ascii="宋体" w:hAnsi="宋体" w:eastAsia="宋体" w:cs="宋体"/>
          <w:b/>
          <w:bCs/>
          <w:color w:val="auto"/>
          <w:sz w:val="32"/>
          <w:szCs w:val="32"/>
          <w:highlight w:val="none"/>
        </w:rPr>
        <w:t>国企采购活动现场确认声明书</w:t>
      </w:r>
      <w:bookmarkEnd w:id="170"/>
      <w:bookmarkEnd w:id="171"/>
    </w:p>
    <w:p w14:paraId="09678A41">
      <w:pPr>
        <w:pStyle w:val="54"/>
        <w:widowControl w:val="0"/>
        <w:wordWrap w:val="0"/>
        <w:snapToGrid w:val="0"/>
        <w:spacing w:line="360" w:lineRule="auto"/>
        <w:ind w:firstLine="2570" w:firstLineChars="800"/>
        <w:outlineLvl w:val="0"/>
        <w:rPr>
          <w:rFonts w:hint="eastAsia" w:ascii="宋体" w:hAnsi="宋体" w:eastAsia="宋体" w:cs="宋体"/>
          <w:b/>
          <w:bCs/>
          <w:color w:val="auto"/>
          <w:sz w:val="32"/>
          <w:szCs w:val="32"/>
          <w:highlight w:val="none"/>
        </w:rPr>
      </w:pPr>
    </w:p>
    <w:p w14:paraId="5CC18AA2">
      <w:pPr>
        <w:pStyle w:val="54"/>
        <w:widowControl w:val="0"/>
        <w:wordWrap w:val="0"/>
        <w:snapToGrid w:val="0"/>
        <w:spacing w:line="360" w:lineRule="auto"/>
        <w:jc w:val="both"/>
        <w:rPr>
          <w:rFonts w:hint="eastAsia" w:ascii="宋体" w:hAnsi="宋体" w:eastAsia="宋体" w:cs="宋体"/>
          <w:color w:val="auto"/>
          <w:sz w:val="22"/>
          <w:szCs w:val="22"/>
          <w:highlight w:val="none"/>
          <w:lang w:eastAsia="zh-CN"/>
        </w:rPr>
      </w:pPr>
      <w:r>
        <w:rPr>
          <w:rFonts w:hint="eastAsia" w:ascii="宋体" w:hAnsi="宋体" w:eastAsia="宋体" w:cs="宋体"/>
          <w:color w:val="auto"/>
          <w:kern w:val="0"/>
          <w:sz w:val="22"/>
          <w:szCs w:val="22"/>
          <w:highlight w:val="none"/>
          <w:u w:val="single"/>
        </w:rPr>
        <w:t>新征程（杭州）招标代理有限公司（采购组织机构名称）</w:t>
      </w:r>
      <w:r>
        <w:rPr>
          <w:rFonts w:hint="eastAsia" w:ascii="宋体" w:hAnsi="宋体" w:eastAsia="宋体" w:cs="宋体"/>
          <w:color w:val="auto"/>
          <w:kern w:val="0"/>
          <w:sz w:val="22"/>
          <w:szCs w:val="22"/>
          <w:highlight w:val="none"/>
          <w:lang w:eastAsia="zh-CN"/>
        </w:rPr>
        <w:t>：</w:t>
      </w:r>
    </w:p>
    <w:p w14:paraId="04D6D5B5">
      <w:pPr>
        <w:pStyle w:val="54"/>
        <w:widowControl w:val="0"/>
        <w:wordWrap w:val="0"/>
        <w:snapToGrid w:val="0"/>
        <w:spacing w:line="360" w:lineRule="auto"/>
        <w:ind w:firstLine="464" w:firstLineChars="200"/>
        <w:jc w:val="both"/>
        <w:rPr>
          <w:rFonts w:hint="eastAsia" w:ascii="宋体" w:hAnsi="宋体" w:eastAsia="宋体" w:cs="宋体"/>
          <w:color w:val="auto"/>
          <w:spacing w:val="6"/>
          <w:sz w:val="22"/>
          <w:szCs w:val="22"/>
          <w:highlight w:val="none"/>
        </w:rPr>
      </w:pPr>
      <w:r>
        <w:rPr>
          <w:rFonts w:hint="eastAsia" w:ascii="宋体" w:hAnsi="宋体" w:eastAsia="宋体" w:cs="宋体"/>
          <w:color w:val="auto"/>
          <w:spacing w:val="6"/>
          <w:sz w:val="22"/>
          <w:szCs w:val="22"/>
          <w:highlight w:val="none"/>
          <w:u w:val="single"/>
        </w:rPr>
        <w:t>本人经由                            （单位）负责人      （姓名）合法授权参加</w:t>
      </w:r>
      <w:r>
        <w:rPr>
          <w:rFonts w:hint="eastAsia" w:hAnsi="宋体" w:cs="宋体"/>
          <w:color w:val="auto"/>
          <w:spacing w:val="6"/>
          <w:sz w:val="22"/>
          <w:szCs w:val="22"/>
          <w:highlight w:val="none"/>
          <w:u w:val="single"/>
          <w:lang w:eastAsia="zh-CN"/>
        </w:rPr>
        <w:t>2026年度采购雁荡山君澜度假酒店液化天然气（LNG）、运输及天然气站维护服务采购</w:t>
      </w:r>
      <w:r>
        <w:rPr>
          <w:rFonts w:hint="eastAsia" w:ascii="宋体" w:hAnsi="宋体" w:eastAsia="宋体" w:cs="宋体"/>
          <w:color w:val="auto"/>
          <w:spacing w:val="6"/>
          <w:sz w:val="22"/>
          <w:szCs w:val="22"/>
          <w:highlight w:val="none"/>
          <w:u w:val="single"/>
        </w:rPr>
        <w:t>（采购编号</w:t>
      </w:r>
      <w:r>
        <w:rPr>
          <w:rFonts w:hint="eastAsia" w:ascii="宋体" w:hAnsi="宋体" w:eastAsia="宋体" w:cs="宋体"/>
          <w:color w:val="auto"/>
          <w:spacing w:val="6"/>
          <w:sz w:val="22"/>
          <w:szCs w:val="22"/>
          <w:highlight w:val="none"/>
          <w:u w:val="single"/>
          <w:lang w:eastAsia="zh-CN"/>
        </w:rPr>
        <w:t>：</w:t>
      </w:r>
      <w:r>
        <w:rPr>
          <w:rFonts w:hint="eastAsia" w:hAnsi="宋体" w:cs="宋体"/>
          <w:color w:val="auto"/>
          <w:spacing w:val="6"/>
          <w:sz w:val="22"/>
          <w:szCs w:val="22"/>
          <w:highlight w:val="none"/>
          <w:u w:val="single"/>
          <w:lang w:eastAsia="zh-CN"/>
        </w:rPr>
        <w:t>PYCG260608076</w:t>
      </w:r>
      <w:r>
        <w:rPr>
          <w:rFonts w:hint="eastAsia" w:ascii="宋体" w:hAnsi="宋体" w:eastAsia="宋体" w:cs="宋体"/>
          <w:color w:val="auto"/>
          <w:spacing w:val="6"/>
          <w:sz w:val="22"/>
          <w:szCs w:val="22"/>
          <w:highlight w:val="none"/>
          <w:u w:val="single"/>
        </w:rPr>
        <w:t>）</w:t>
      </w:r>
      <w:r>
        <w:rPr>
          <w:rFonts w:hint="eastAsia" w:ascii="宋体" w:hAnsi="宋体" w:eastAsia="宋体" w:cs="宋体"/>
          <w:color w:val="auto"/>
          <w:spacing w:val="6"/>
          <w:sz w:val="22"/>
          <w:szCs w:val="22"/>
          <w:highlight w:val="none"/>
        </w:rPr>
        <w:t>国企采购活动，经与本单位法人代表（负责人）联系确认，现就有关公平竞争事项郑重声明如下</w:t>
      </w:r>
      <w:r>
        <w:rPr>
          <w:rFonts w:hint="eastAsia" w:ascii="宋体" w:hAnsi="宋体" w:eastAsia="宋体" w:cs="宋体"/>
          <w:color w:val="auto"/>
          <w:spacing w:val="6"/>
          <w:sz w:val="22"/>
          <w:szCs w:val="22"/>
          <w:highlight w:val="none"/>
          <w:lang w:eastAsia="zh-CN"/>
        </w:rPr>
        <w:t>：</w:t>
      </w:r>
      <w:r>
        <w:rPr>
          <w:rFonts w:hint="eastAsia" w:ascii="宋体" w:hAnsi="宋体" w:eastAsia="宋体" w:cs="宋体"/>
          <w:color w:val="auto"/>
          <w:spacing w:val="6"/>
          <w:sz w:val="22"/>
          <w:szCs w:val="22"/>
          <w:highlight w:val="none"/>
        </w:rPr>
        <w:t xml:space="preserve"> </w:t>
      </w:r>
    </w:p>
    <w:p w14:paraId="294D9A9F">
      <w:pPr>
        <w:pStyle w:val="72"/>
        <w:widowControl/>
        <w:numPr>
          <w:ilvl w:val="0"/>
          <w:numId w:val="3"/>
        </w:numPr>
        <w:wordWrap w:val="0"/>
        <w:snapToGrid w:val="0"/>
        <w:spacing w:line="360" w:lineRule="auto"/>
        <w:ind w:firstLine="415" w:firstLineChars="18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本单位与采购人之间 □不存在利害关系 □存在下列利害关系</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eastAsia="zh-CN"/>
        </w:rPr>
        <w:t>：</w:t>
      </w:r>
    </w:p>
    <w:p w14:paraId="4D64088E">
      <w:pPr>
        <w:pStyle w:val="72"/>
        <w:widowControl/>
        <w:wordWrap w:val="0"/>
        <w:snapToGrid w:val="0"/>
        <w:spacing w:line="360" w:lineRule="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A.投资关系    B.行政隶属关系    C.业务指导关系</w:t>
      </w:r>
    </w:p>
    <w:p w14:paraId="16E58BB0">
      <w:pPr>
        <w:pStyle w:val="72"/>
        <w:widowControl/>
        <w:wordWrap w:val="0"/>
        <w:snapToGrid w:val="0"/>
        <w:spacing w:line="360" w:lineRule="auto"/>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D.其他可能</w:t>
      </w:r>
      <w:r>
        <w:rPr>
          <w:rFonts w:hint="eastAsia" w:ascii="宋体" w:hAnsi="宋体" w:eastAsia="宋体" w:cs="宋体"/>
          <w:color w:val="auto"/>
          <w:sz w:val="22"/>
          <w:szCs w:val="22"/>
          <w:highlight w:val="none"/>
        </w:rPr>
        <w:t>影响采购公正的</w:t>
      </w:r>
      <w:r>
        <w:rPr>
          <w:rFonts w:hint="eastAsia" w:ascii="宋体" w:hAnsi="宋体" w:eastAsia="宋体" w:cs="宋体"/>
          <w:color w:val="auto"/>
          <w:kern w:val="0"/>
          <w:sz w:val="22"/>
          <w:szCs w:val="22"/>
          <w:highlight w:val="none"/>
        </w:rPr>
        <w:t>利害关系</w:t>
      </w:r>
      <w:r>
        <w:rPr>
          <w:rFonts w:hint="eastAsia" w:ascii="宋体" w:hAnsi="宋体" w:eastAsia="宋体" w:cs="宋体"/>
          <w:color w:val="auto"/>
          <w:kern w:val="0"/>
          <w:sz w:val="22"/>
          <w:szCs w:val="22"/>
          <w:highlight w:val="none"/>
          <w:u w:val="single"/>
        </w:rPr>
        <w:t xml:space="preserve">（如有，请如实说明）                 </w:t>
      </w:r>
      <w:r>
        <w:rPr>
          <w:rFonts w:hint="eastAsia" w:ascii="宋体" w:hAnsi="宋体" w:eastAsia="宋体" w:cs="宋体"/>
          <w:color w:val="auto"/>
          <w:kern w:val="0"/>
          <w:sz w:val="22"/>
          <w:szCs w:val="22"/>
          <w:highlight w:val="none"/>
        </w:rPr>
        <w:t>。</w:t>
      </w:r>
    </w:p>
    <w:p w14:paraId="128F81F1">
      <w:pPr>
        <w:pStyle w:val="72"/>
        <w:widowControl/>
        <w:wordWrap w:val="0"/>
        <w:snapToGrid w:val="0"/>
        <w:spacing w:line="360" w:lineRule="auto"/>
        <w:rPr>
          <w:rFonts w:hint="eastAsia" w:ascii="宋体" w:hAnsi="宋体" w:eastAsia="宋体" w:cs="宋体"/>
          <w:color w:val="auto"/>
          <w:kern w:val="0"/>
          <w:sz w:val="22"/>
          <w:szCs w:val="22"/>
          <w:highlight w:val="none"/>
          <w:lang w:eastAsia="zh-CN"/>
        </w:rPr>
      </w:pPr>
      <w:r>
        <w:rPr>
          <w:rFonts w:hint="eastAsia" w:ascii="宋体" w:hAnsi="宋体" w:eastAsia="宋体" w:cs="宋体"/>
          <w:color w:val="auto"/>
          <w:spacing w:val="6"/>
          <w:sz w:val="22"/>
          <w:szCs w:val="22"/>
          <w:highlight w:val="none"/>
        </w:rPr>
        <w:t xml:space="preserve">  二、</w:t>
      </w:r>
      <w:r>
        <w:rPr>
          <w:rFonts w:hint="eastAsia" w:ascii="宋体" w:hAnsi="宋体" w:eastAsia="宋体" w:cs="宋体"/>
          <w:color w:val="auto"/>
          <w:kern w:val="0"/>
          <w:sz w:val="22"/>
          <w:szCs w:val="22"/>
          <w:highlight w:val="none"/>
        </w:rPr>
        <w:t>现已清楚知道参加本项目采购活动的其他所有供应商名称，本单位 □与其他所有供应商之间均不存在利害关系 □与</w:t>
      </w:r>
      <w:r>
        <w:rPr>
          <w:rFonts w:hint="eastAsia" w:ascii="宋体" w:hAnsi="宋体" w:eastAsia="宋体" w:cs="宋体"/>
          <w:color w:val="auto"/>
          <w:kern w:val="0"/>
          <w:sz w:val="22"/>
          <w:szCs w:val="22"/>
          <w:highlight w:val="none"/>
          <w:u w:val="single"/>
        </w:rPr>
        <w:t xml:space="preserve">           （供应商名称）</w:t>
      </w:r>
      <w:r>
        <w:rPr>
          <w:rFonts w:hint="eastAsia" w:ascii="宋体" w:hAnsi="宋体" w:eastAsia="宋体" w:cs="宋体"/>
          <w:color w:val="auto"/>
          <w:kern w:val="0"/>
          <w:sz w:val="22"/>
          <w:szCs w:val="22"/>
          <w:highlight w:val="none"/>
        </w:rPr>
        <w:t>之间存在下列利害关系</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lang w:eastAsia="zh-CN"/>
        </w:rPr>
        <w:t>：</w:t>
      </w:r>
    </w:p>
    <w:p w14:paraId="1CA112A5">
      <w:pPr>
        <w:pStyle w:val="54"/>
        <w:widowControl w:val="0"/>
        <w:wordWrap w:val="0"/>
        <w:snapToGrid w:val="0"/>
        <w:spacing w:line="360" w:lineRule="auto"/>
        <w:jc w:val="both"/>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A.法定代表人或负责人或实际控制人是同一人</w:t>
      </w:r>
    </w:p>
    <w:p w14:paraId="0974AEAF">
      <w:pPr>
        <w:pStyle w:val="54"/>
        <w:widowControl w:val="0"/>
        <w:wordWrap w:val="0"/>
        <w:snapToGrid w:val="0"/>
        <w:spacing w:line="360" w:lineRule="auto"/>
        <w:jc w:val="both"/>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rPr>
        <w:t xml:space="preserve">  B.法定代表人或负责人或实际控制人是夫妻关系</w:t>
      </w:r>
    </w:p>
    <w:p w14:paraId="1EE54E2C">
      <w:pPr>
        <w:pStyle w:val="54"/>
        <w:widowControl w:val="0"/>
        <w:wordWrap w:val="0"/>
        <w:snapToGrid w:val="0"/>
        <w:spacing w:line="360" w:lineRule="auto"/>
        <w:jc w:val="both"/>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rPr>
        <w:t xml:space="preserve">  C.法定代表人或负责人或实际控制人是直系血亲关系</w:t>
      </w:r>
    </w:p>
    <w:p w14:paraId="7C29D33B">
      <w:pPr>
        <w:pStyle w:val="54"/>
        <w:widowControl w:val="0"/>
        <w:wordWrap w:val="0"/>
        <w:snapToGrid w:val="0"/>
        <w:spacing w:line="360" w:lineRule="auto"/>
        <w:jc w:val="both"/>
        <w:rPr>
          <w:rFonts w:hint="eastAsia" w:ascii="宋体" w:hAnsi="宋体" w:eastAsia="宋体" w:cs="宋体"/>
          <w:color w:val="auto"/>
          <w:spacing w:val="6"/>
          <w:sz w:val="22"/>
          <w:szCs w:val="22"/>
          <w:highlight w:val="none"/>
        </w:rPr>
      </w:pPr>
      <w:r>
        <w:rPr>
          <w:rFonts w:hint="eastAsia" w:ascii="宋体" w:hAnsi="宋体" w:eastAsia="宋体" w:cs="宋体"/>
          <w:color w:val="auto"/>
          <w:kern w:val="0"/>
          <w:sz w:val="22"/>
          <w:szCs w:val="22"/>
          <w:highlight w:val="none"/>
        </w:rPr>
        <w:t xml:space="preserve">  D.法定代表人或负责人或实际控制人存在三代以内旁系血亲关系</w:t>
      </w:r>
    </w:p>
    <w:p w14:paraId="5A9E44F9">
      <w:pPr>
        <w:pStyle w:val="54"/>
        <w:widowControl w:val="0"/>
        <w:wordWrap w:val="0"/>
        <w:snapToGrid w:val="0"/>
        <w:spacing w:line="360" w:lineRule="auto"/>
        <w:jc w:val="both"/>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E.法定代表人或负责人或实际控制人存在近姻亲关系</w:t>
      </w:r>
    </w:p>
    <w:p w14:paraId="49BE9D23">
      <w:pPr>
        <w:pStyle w:val="54"/>
        <w:widowControl w:val="0"/>
        <w:wordWrap w:val="0"/>
        <w:snapToGrid w:val="0"/>
        <w:spacing w:line="360" w:lineRule="auto"/>
        <w:jc w:val="both"/>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F.法定代表人或负责人或实际控制人存在股份控制或实际控制关系</w:t>
      </w:r>
    </w:p>
    <w:p w14:paraId="3B68134B">
      <w:pPr>
        <w:pStyle w:val="54"/>
        <w:widowControl w:val="0"/>
        <w:wordWrap w:val="0"/>
        <w:snapToGrid w:val="0"/>
        <w:spacing w:line="360" w:lineRule="auto"/>
        <w:jc w:val="both"/>
        <w:outlineLvl w:val="0"/>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 xml:space="preserve">  </w:t>
      </w:r>
      <w:bookmarkStart w:id="172" w:name="_Toc5485"/>
      <w:bookmarkStart w:id="173" w:name="_Toc26778"/>
      <w:bookmarkStart w:id="174" w:name="_Toc8771"/>
      <w:bookmarkStart w:id="175" w:name="_Toc28016"/>
      <w:bookmarkStart w:id="176" w:name="_Toc8088"/>
      <w:r>
        <w:rPr>
          <w:rFonts w:hint="eastAsia" w:ascii="宋体" w:hAnsi="宋体" w:eastAsia="宋体" w:cs="宋体"/>
          <w:color w:val="auto"/>
          <w:kern w:val="0"/>
          <w:sz w:val="22"/>
          <w:szCs w:val="22"/>
          <w:highlight w:val="none"/>
        </w:rPr>
        <w:t>G.存在共同直接或间接投资设立子公司、联营企业和合营企业情况</w:t>
      </w:r>
      <w:bookmarkEnd w:id="172"/>
      <w:bookmarkEnd w:id="173"/>
      <w:bookmarkEnd w:id="174"/>
      <w:bookmarkEnd w:id="175"/>
      <w:bookmarkEnd w:id="176"/>
    </w:p>
    <w:p w14:paraId="2D5C0D58">
      <w:pPr>
        <w:pStyle w:val="54"/>
        <w:widowControl w:val="0"/>
        <w:wordWrap w:val="0"/>
        <w:snapToGrid w:val="0"/>
        <w:spacing w:line="360" w:lineRule="auto"/>
        <w:jc w:val="both"/>
        <w:rPr>
          <w:rFonts w:hint="eastAsia" w:ascii="宋体" w:hAnsi="宋体" w:eastAsia="宋体" w:cs="宋体"/>
          <w:color w:val="auto"/>
          <w:sz w:val="22"/>
          <w:szCs w:val="22"/>
          <w:highlight w:val="none"/>
        </w:rPr>
      </w:pPr>
      <w:r>
        <w:rPr>
          <w:rFonts w:hint="eastAsia" w:ascii="宋体" w:hAnsi="宋体" w:eastAsia="宋体" w:cs="宋体"/>
          <w:color w:val="auto"/>
          <w:kern w:val="0"/>
          <w:sz w:val="22"/>
          <w:szCs w:val="22"/>
          <w:highlight w:val="none"/>
        </w:rPr>
        <w:t xml:space="preserve">  H.存在分级代理或代销关系、同一生产制造商关系、</w:t>
      </w:r>
      <w:r>
        <w:rPr>
          <w:rFonts w:hint="eastAsia" w:ascii="宋体" w:hAnsi="宋体" w:eastAsia="宋体" w:cs="宋体"/>
          <w:color w:val="auto"/>
          <w:sz w:val="22"/>
          <w:szCs w:val="22"/>
          <w:highlight w:val="none"/>
        </w:rPr>
        <w:t>管理关系、重要业务（占主营业务收入50%以上）或重要财务往来关系（如融资）等其他实质性控制关系</w:t>
      </w:r>
    </w:p>
    <w:p w14:paraId="4F1B4ACA">
      <w:pPr>
        <w:pStyle w:val="54"/>
        <w:widowControl w:val="0"/>
        <w:wordWrap w:val="0"/>
        <w:snapToGrid w:val="0"/>
        <w:spacing w:line="360" w:lineRule="auto"/>
        <w:jc w:val="both"/>
        <w:outlineLvl w:val="0"/>
        <w:rPr>
          <w:rFonts w:hint="eastAsia" w:ascii="宋体" w:hAnsi="宋体" w:eastAsia="宋体" w:cs="宋体"/>
          <w:color w:val="auto"/>
          <w:spacing w:val="6"/>
          <w:sz w:val="22"/>
          <w:szCs w:val="22"/>
          <w:highlight w:val="none"/>
        </w:rPr>
      </w:pPr>
      <w:r>
        <w:rPr>
          <w:rFonts w:hint="eastAsia" w:ascii="宋体" w:hAnsi="宋体" w:eastAsia="宋体" w:cs="宋体"/>
          <w:color w:val="auto"/>
          <w:sz w:val="22"/>
          <w:szCs w:val="22"/>
          <w:highlight w:val="none"/>
        </w:rPr>
        <w:t xml:space="preserve">    </w:t>
      </w:r>
      <w:bookmarkStart w:id="177" w:name="_Toc6717"/>
      <w:bookmarkStart w:id="178" w:name="_Toc31554"/>
      <w:bookmarkStart w:id="179" w:name="_Toc14925"/>
      <w:bookmarkStart w:id="180" w:name="_Toc32152"/>
      <w:bookmarkStart w:id="181" w:name="_Toc6582"/>
      <w:r>
        <w:rPr>
          <w:rFonts w:hint="eastAsia" w:ascii="宋体" w:hAnsi="宋体" w:eastAsia="宋体" w:cs="宋体"/>
          <w:color w:val="auto"/>
          <w:sz w:val="22"/>
          <w:szCs w:val="22"/>
          <w:highlight w:val="none"/>
        </w:rPr>
        <w:t>I</w:t>
      </w:r>
      <w:r>
        <w:rPr>
          <w:rFonts w:hint="eastAsia" w:ascii="宋体" w:hAnsi="宋体" w:eastAsia="宋体" w:cs="宋体"/>
          <w:color w:val="auto"/>
          <w:kern w:val="0"/>
          <w:sz w:val="22"/>
          <w:szCs w:val="22"/>
          <w:highlight w:val="none"/>
        </w:rPr>
        <w:t>.</w:t>
      </w:r>
      <w:r>
        <w:rPr>
          <w:rFonts w:hint="eastAsia" w:ascii="宋体" w:hAnsi="宋体" w:eastAsia="宋体" w:cs="宋体"/>
          <w:color w:val="auto"/>
          <w:sz w:val="22"/>
          <w:szCs w:val="22"/>
          <w:highlight w:val="none"/>
        </w:rPr>
        <w:t>其他利害关系情况</w:t>
      </w:r>
      <w:r>
        <w:rPr>
          <w:rFonts w:hint="eastAsia" w:ascii="宋体" w:hAnsi="宋体" w:eastAsia="宋体" w:cs="宋体"/>
          <w:color w:val="auto"/>
          <w:sz w:val="22"/>
          <w:szCs w:val="22"/>
          <w:highlight w:val="none"/>
          <w:u w:val="single"/>
        </w:rPr>
        <w:t xml:space="preserve">                              </w:t>
      </w:r>
      <w:r>
        <w:rPr>
          <w:rFonts w:hint="eastAsia" w:ascii="宋体" w:hAnsi="宋体" w:eastAsia="宋体" w:cs="宋体"/>
          <w:color w:val="auto"/>
          <w:kern w:val="0"/>
          <w:sz w:val="22"/>
          <w:szCs w:val="22"/>
          <w:highlight w:val="none"/>
        </w:rPr>
        <w:t>。</w:t>
      </w:r>
      <w:bookmarkEnd w:id="177"/>
      <w:bookmarkEnd w:id="178"/>
      <w:bookmarkEnd w:id="179"/>
      <w:bookmarkEnd w:id="180"/>
      <w:bookmarkEnd w:id="181"/>
    </w:p>
    <w:p w14:paraId="38C79731">
      <w:pPr>
        <w:pStyle w:val="72"/>
        <w:widowControl/>
        <w:numPr>
          <w:ilvl w:val="0"/>
          <w:numId w:val="4"/>
        </w:numPr>
        <w:wordWrap w:val="0"/>
        <w:snapToGrid w:val="0"/>
        <w:spacing w:line="360" w:lineRule="auto"/>
        <w:ind w:firstLine="415" w:firstLineChars="189"/>
        <w:rPr>
          <w:rFonts w:hint="eastAsia" w:ascii="宋体" w:hAnsi="宋体" w:eastAsia="宋体" w:cs="宋体"/>
          <w:color w:val="auto"/>
          <w:kern w:val="0"/>
          <w:sz w:val="22"/>
          <w:szCs w:val="22"/>
          <w:highlight w:val="none"/>
        </w:rPr>
      </w:pPr>
      <w:r>
        <w:rPr>
          <w:rFonts w:hint="eastAsia" w:ascii="宋体" w:hAnsi="宋体" w:eastAsia="宋体" w:cs="宋体"/>
          <w:color w:val="auto"/>
          <w:sz w:val="22"/>
          <w:szCs w:val="22"/>
          <w:highlight w:val="none"/>
        </w:rPr>
        <w:t>现已清楚知道并</w:t>
      </w:r>
      <w:r>
        <w:rPr>
          <w:rFonts w:hint="eastAsia" w:ascii="宋体" w:hAnsi="宋体" w:eastAsia="宋体" w:cs="宋体"/>
          <w:color w:val="auto"/>
          <w:kern w:val="0"/>
          <w:sz w:val="22"/>
          <w:szCs w:val="22"/>
          <w:highlight w:val="none"/>
        </w:rPr>
        <w:t>严格遵守国企采购法律法规和现场纪律。</w:t>
      </w:r>
    </w:p>
    <w:p w14:paraId="5C6F09E9">
      <w:pPr>
        <w:pStyle w:val="72"/>
        <w:widowControl/>
        <w:numPr>
          <w:ilvl w:val="0"/>
          <w:numId w:val="4"/>
        </w:numPr>
        <w:wordWrap w:val="0"/>
        <w:snapToGrid w:val="0"/>
        <w:spacing w:line="360" w:lineRule="auto"/>
        <w:ind w:firstLine="415" w:firstLineChars="189"/>
        <w:rPr>
          <w:rFonts w:hint="eastAsia" w:ascii="宋体" w:hAnsi="宋体" w:eastAsia="宋体" w:cs="宋体"/>
          <w:color w:val="auto"/>
          <w:kern w:val="0"/>
          <w:sz w:val="22"/>
          <w:szCs w:val="22"/>
          <w:highlight w:val="none"/>
        </w:rPr>
      </w:pPr>
      <w:r>
        <w:rPr>
          <w:rFonts w:hint="eastAsia" w:ascii="宋体" w:hAnsi="宋体" w:eastAsia="宋体" w:cs="宋体"/>
          <w:color w:val="auto"/>
          <w:kern w:val="0"/>
          <w:sz w:val="22"/>
          <w:szCs w:val="22"/>
          <w:highlight w:val="none"/>
        </w:rPr>
        <w:t>我发现</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供应商之间存在或可能存在上述第二条第</w:t>
      </w:r>
      <w:r>
        <w:rPr>
          <w:rFonts w:hint="eastAsia" w:ascii="宋体" w:hAnsi="宋体" w:eastAsia="宋体" w:cs="宋体"/>
          <w:color w:val="auto"/>
          <w:kern w:val="0"/>
          <w:sz w:val="22"/>
          <w:szCs w:val="22"/>
          <w:highlight w:val="none"/>
          <w:u w:val="single"/>
        </w:rPr>
        <w:t xml:space="preserve">        </w:t>
      </w:r>
      <w:r>
        <w:rPr>
          <w:rFonts w:hint="eastAsia" w:ascii="宋体" w:hAnsi="宋体" w:eastAsia="宋体" w:cs="宋体"/>
          <w:color w:val="auto"/>
          <w:kern w:val="0"/>
          <w:sz w:val="22"/>
          <w:szCs w:val="22"/>
          <w:highlight w:val="none"/>
        </w:rPr>
        <w:t>项利害关系</w:t>
      </w:r>
    </w:p>
    <w:p w14:paraId="710939D1">
      <w:pPr>
        <w:pStyle w:val="54"/>
        <w:widowControl w:val="0"/>
        <w:wordWrap w:val="0"/>
        <w:snapToGrid w:val="0"/>
        <w:spacing w:line="360" w:lineRule="auto"/>
        <w:ind w:firstLine="5280" w:firstLineChars="24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（供应商代表签名）</w:t>
      </w:r>
    </w:p>
    <w:p w14:paraId="05AE53B2">
      <w:pPr>
        <w:pStyle w:val="54"/>
        <w:widowControl w:val="0"/>
        <w:wordWrap w:val="0"/>
        <w:snapToGrid w:val="0"/>
        <w:spacing w:line="360" w:lineRule="auto"/>
        <w:ind w:firstLine="440" w:firstLineChars="200"/>
        <w:jc w:val="both"/>
        <w:rPr>
          <w:rFonts w:hint="eastAsia" w:ascii="宋体" w:hAnsi="宋体" w:eastAsia="宋体" w:cs="宋体"/>
          <w:color w:val="auto"/>
          <w:sz w:val="22"/>
          <w:szCs w:val="22"/>
          <w:highlight w:val="none"/>
        </w:rPr>
      </w:pPr>
      <w:r>
        <w:rPr>
          <w:rFonts w:hint="eastAsia" w:ascii="宋体" w:hAnsi="宋体" w:eastAsia="宋体" w:cs="宋体"/>
          <w:color w:val="auto"/>
          <w:sz w:val="22"/>
          <w:szCs w:val="22"/>
          <w:highlight w:val="none"/>
        </w:rPr>
        <w:t xml:space="preserve">                                              年  月   日</w:t>
      </w:r>
    </w:p>
    <w:p w14:paraId="3BCA9029">
      <w:pPr>
        <w:wordWrap w:val="0"/>
        <w:snapToGrid w:val="0"/>
        <w:spacing w:line="360" w:lineRule="auto"/>
        <w:ind w:firstLine="442" w:firstLineChars="200"/>
        <w:rPr>
          <w:rFonts w:hint="eastAsia" w:ascii="宋体" w:hAnsi="宋体" w:eastAsia="宋体" w:cs="宋体"/>
          <w:b/>
          <w:bCs/>
          <w:color w:val="auto"/>
          <w:sz w:val="22"/>
          <w:szCs w:val="22"/>
          <w:highlight w:val="none"/>
        </w:rPr>
      </w:pPr>
    </w:p>
    <w:p w14:paraId="63861D21">
      <w:pPr>
        <w:wordWrap w:val="0"/>
        <w:snapToGrid w:val="0"/>
        <w:spacing w:line="360" w:lineRule="auto"/>
        <w:ind w:firstLine="442" w:firstLineChars="200"/>
        <w:rPr>
          <w:rFonts w:hint="eastAsia" w:ascii="宋体" w:hAnsi="宋体" w:eastAsia="宋体" w:cs="宋体"/>
          <w:b/>
          <w:bCs/>
          <w:color w:val="auto"/>
          <w:sz w:val="22"/>
          <w:szCs w:val="22"/>
          <w:highlight w:val="none"/>
        </w:rPr>
      </w:pPr>
      <w:r>
        <w:rPr>
          <w:rFonts w:hint="eastAsia" w:ascii="宋体" w:hAnsi="宋体" w:eastAsia="宋体" w:cs="宋体"/>
          <w:b/>
          <w:bCs/>
          <w:color w:val="auto"/>
          <w:sz w:val="22"/>
          <w:szCs w:val="22"/>
          <w:highlight w:val="none"/>
        </w:rPr>
        <w:t>注</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投标文件解密结束后，各投标供应商签署《国企采购活动现场确认声明书》，并在15分钟内以扫描件方式发送至代理机构邮箱</w:t>
      </w:r>
      <w:r>
        <w:rPr>
          <w:rFonts w:hint="eastAsia" w:ascii="宋体" w:hAnsi="宋体" w:eastAsia="宋体" w:cs="宋体"/>
          <w:b/>
          <w:bCs/>
          <w:color w:val="auto"/>
          <w:sz w:val="22"/>
          <w:szCs w:val="22"/>
          <w:highlight w:val="none"/>
          <w:lang w:eastAsia="zh-CN"/>
        </w:rPr>
        <w:t>：</w:t>
      </w:r>
      <w:r>
        <w:rPr>
          <w:rFonts w:hint="eastAsia" w:ascii="宋体" w:hAnsi="宋体" w:eastAsia="宋体" w:cs="宋体"/>
          <w:b/>
          <w:bCs/>
          <w:color w:val="auto"/>
          <w:sz w:val="22"/>
          <w:szCs w:val="22"/>
          <w:highlight w:val="none"/>
        </w:rPr>
        <w:t>250785507@qq.com。</w:t>
      </w:r>
    </w:p>
    <w:p w14:paraId="01239912">
      <w:pPr>
        <w:pStyle w:val="56"/>
        <w:wordWrap w:val="0"/>
        <w:spacing w:line="360" w:lineRule="auto"/>
        <w:rPr>
          <w:rFonts w:hint="eastAsia" w:ascii="宋体" w:hAnsi="宋体" w:eastAsia="宋体" w:cs="宋体"/>
          <w:color w:val="auto"/>
          <w:sz w:val="22"/>
          <w:szCs w:val="22"/>
          <w:highlight w:val="none"/>
        </w:rPr>
      </w:pPr>
    </w:p>
    <w:p w14:paraId="3DE2EEA6">
      <w:pPr>
        <w:pStyle w:val="13"/>
        <w:wordWrap w:val="0"/>
        <w:spacing w:before="0" w:beforeLines="0" w:after="0" w:afterLines="0" w:line="360" w:lineRule="auto"/>
        <w:rPr>
          <w:rFonts w:hint="eastAsia" w:ascii="宋体" w:hAnsi="宋体" w:eastAsia="宋体" w:cs="宋体"/>
          <w:color w:val="auto"/>
          <w:highlight w:val="none"/>
        </w:rPr>
        <w:sectPr>
          <w:pgSz w:w="11907" w:h="16840"/>
          <w:pgMar w:top="1440" w:right="1106" w:bottom="1440" w:left="1157" w:header="720" w:footer="720" w:gutter="0"/>
          <w:cols w:space="720" w:num="1"/>
          <w:docGrid w:linePitch="312" w:charSpace="0"/>
        </w:sectPr>
      </w:pPr>
    </w:p>
    <w:p w14:paraId="18DF8543">
      <w:pPr>
        <w:wordWrap w:val="0"/>
        <w:spacing w:line="360" w:lineRule="auto"/>
        <w:jc w:val="cente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质疑函范本</w:t>
      </w:r>
    </w:p>
    <w:p w14:paraId="40BB4DA1">
      <w:pPr>
        <w:wordWrap w:val="0"/>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一、质疑供应商基本信息</w:t>
      </w:r>
    </w:p>
    <w:p w14:paraId="57C582A8">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质疑供应商</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410AB107">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30F0702D">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联系人</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71A6ABB5">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授权代表</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379B1695">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联系电话</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r>
        <w:rPr>
          <w:rFonts w:hint="eastAsia" w:ascii="宋体" w:hAnsi="宋体" w:eastAsia="宋体" w:cs="宋体"/>
          <w:color w:val="auto"/>
          <w:szCs w:val="21"/>
          <w:highlight w:val="none"/>
        </w:rPr>
        <w:t xml:space="preserve"> </w:t>
      </w:r>
    </w:p>
    <w:p w14:paraId="6C7D390A">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地址</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dotted"/>
        </w:rPr>
        <w:t xml:space="preserve">                        </w:t>
      </w:r>
      <w:r>
        <w:rPr>
          <w:rFonts w:hint="eastAsia" w:ascii="宋体" w:hAnsi="宋体" w:eastAsia="宋体" w:cs="宋体"/>
          <w:color w:val="auto"/>
          <w:szCs w:val="21"/>
          <w:highlight w:val="none"/>
        </w:rPr>
        <w:t>邮编</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7440ACD6">
      <w:pPr>
        <w:wordWrap w:val="0"/>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二、质疑项目基本情况</w:t>
      </w:r>
    </w:p>
    <w:p w14:paraId="60666677">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质疑项目的名称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621E5508">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质疑项目的编号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r>
        <w:rPr>
          <w:rFonts w:hint="eastAsia" w:ascii="宋体" w:hAnsi="宋体" w:eastAsia="宋体" w:cs="宋体"/>
          <w:color w:val="auto"/>
          <w:szCs w:val="21"/>
          <w:highlight w:val="none"/>
        </w:rPr>
        <w:t>包号</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2842AFD3">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采购人名称</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6FDD71B2">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采购文件获取日期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7A6BB1E8">
      <w:pPr>
        <w:wordWrap w:val="0"/>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三、质疑事项具体内容</w:t>
      </w:r>
    </w:p>
    <w:p w14:paraId="1D90F25A">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质疑事项1</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6E61AF70">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事实依据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3C19E30C">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u w:val="dotted"/>
        </w:rPr>
        <w:t xml:space="preserve">                                                       </w:t>
      </w:r>
    </w:p>
    <w:p w14:paraId="130FDD8B">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法律依据</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22F05FEB">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u w:val="dotted"/>
        </w:rPr>
        <w:t xml:space="preserve">                                                     </w:t>
      </w:r>
      <w:bookmarkStart w:id="182" w:name="_GoBack"/>
      <w:bookmarkEnd w:id="182"/>
    </w:p>
    <w:p w14:paraId="4FB32F08">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质疑事项2</w:t>
      </w:r>
    </w:p>
    <w:p w14:paraId="464671A5">
      <w:pPr>
        <w:wordWrap w:val="0"/>
        <w:adjustRightInd w:val="0"/>
        <w:snapToGrid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p>
    <w:p w14:paraId="164A70C0">
      <w:pPr>
        <w:wordWrap w:val="0"/>
        <w:adjustRightInd w:val="0"/>
        <w:snapToGrid w:val="0"/>
        <w:spacing w:line="360" w:lineRule="auto"/>
        <w:rPr>
          <w:rFonts w:hint="eastAsia" w:ascii="宋体" w:hAnsi="宋体" w:eastAsia="宋体" w:cs="宋体"/>
          <w:color w:val="auto"/>
          <w:szCs w:val="21"/>
          <w:highlight w:val="none"/>
        </w:rPr>
      </w:pPr>
    </w:p>
    <w:p w14:paraId="773468CF">
      <w:pPr>
        <w:wordWrap w:val="0"/>
        <w:adjustRightInd w:val="0"/>
        <w:snapToGrid w:val="0"/>
        <w:spacing w:line="360" w:lineRule="auto"/>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四、与质疑事项相关的质疑请求</w:t>
      </w:r>
    </w:p>
    <w:p w14:paraId="2D93C5C5">
      <w:pPr>
        <w:wordWrap w:val="0"/>
        <w:adjustRightInd w:val="0"/>
        <w:snapToGrid w:val="0"/>
        <w:spacing w:line="360" w:lineRule="auto"/>
        <w:rPr>
          <w:rFonts w:hint="eastAsia" w:ascii="宋体" w:hAnsi="宋体" w:eastAsia="宋体" w:cs="宋体"/>
          <w:color w:val="auto"/>
          <w:szCs w:val="21"/>
          <w:highlight w:val="none"/>
          <w:u w:val="dotted"/>
        </w:rPr>
      </w:pPr>
      <w:r>
        <w:rPr>
          <w:rFonts w:hint="eastAsia" w:ascii="宋体" w:hAnsi="宋体" w:eastAsia="宋体" w:cs="宋体"/>
          <w:color w:val="auto"/>
          <w:szCs w:val="21"/>
          <w:highlight w:val="none"/>
        </w:rPr>
        <w:t>请求</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u w:val="dotted"/>
        </w:rPr>
        <w:t xml:space="preserve">                                               </w:t>
      </w:r>
    </w:p>
    <w:p w14:paraId="1AEEC7FC">
      <w:pPr>
        <w:wordWrap w:val="0"/>
        <w:spacing w:line="360" w:lineRule="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签字(签章)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公章</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3F73F4E2">
      <w:pPr>
        <w:wordWrap w:val="0"/>
        <w:spacing w:line="360" w:lineRule="auto"/>
        <w:rPr>
          <w:rFonts w:hint="eastAsia" w:ascii="宋体" w:hAnsi="宋体" w:eastAsia="宋体" w:cs="宋体"/>
          <w:b/>
          <w:bCs/>
          <w:color w:val="auto"/>
          <w:szCs w:val="21"/>
          <w:highlight w:val="none"/>
        </w:rPr>
      </w:pPr>
      <w:r>
        <w:rPr>
          <w:rFonts w:hint="eastAsia" w:ascii="宋体" w:hAnsi="宋体" w:eastAsia="宋体" w:cs="宋体"/>
          <w:color w:val="auto"/>
          <w:szCs w:val="21"/>
          <w:highlight w:val="none"/>
        </w:rPr>
        <w:t>日期</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rPr>
        <w:t xml:space="preserve">    </w:t>
      </w:r>
    </w:p>
    <w:p w14:paraId="66E86BBE">
      <w:pPr>
        <w:wordWrap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质疑函制作说明</w:t>
      </w:r>
      <w:r>
        <w:rPr>
          <w:rFonts w:hint="eastAsia" w:ascii="宋体" w:hAnsi="宋体" w:eastAsia="宋体" w:cs="宋体"/>
          <w:b/>
          <w:color w:val="auto"/>
          <w:szCs w:val="21"/>
          <w:highlight w:val="none"/>
          <w:lang w:eastAsia="zh-CN"/>
        </w:rPr>
        <w:t>：</w:t>
      </w:r>
    </w:p>
    <w:p w14:paraId="487600EA">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1.供应商提出质疑时，应提交质疑函和必要的证明材料。</w:t>
      </w:r>
    </w:p>
    <w:p w14:paraId="2589C7C7">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2.质疑供应商若委托代理人进行质疑的，质疑函应按要求列明“授权代表”的有关内容，并在附件中提交由质疑</w:t>
      </w:r>
      <w:r>
        <w:rPr>
          <w:rFonts w:hint="eastAsia" w:ascii="宋体" w:hAnsi="宋体" w:eastAsia="宋体" w:cs="宋体"/>
          <w:color w:val="auto"/>
          <w:kern w:val="0"/>
          <w:szCs w:val="21"/>
          <w:highlight w:val="none"/>
        </w:rPr>
        <w:t>供应商签署的授权委托书。授权委托书应载明代理人的姓名或者名称、代理事项、具体权限、期限和相关事项。</w:t>
      </w:r>
    </w:p>
    <w:p w14:paraId="72B461F3">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3.质疑供应商若对项目的某一分包进行质疑，质疑函中应列明具体分包号。</w:t>
      </w:r>
    </w:p>
    <w:p w14:paraId="2D8D66E0">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4.质疑函的质疑事项应具体、明确，并有必要的事实依据和法律依据。</w:t>
      </w:r>
    </w:p>
    <w:p w14:paraId="519C19D5">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5.质疑函的质疑请求应与质疑事项相关。</w:t>
      </w:r>
    </w:p>
    <w:p w14:paraId="7711FDC5">
      <w:pPr>
        <w:widowControl/>
        <w:wordWrap w:val="0"/>
        <w:spacing w:line="360" w:lineRule="auto"/>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6.质疑供应商为自然人的，质疑函应由本人签字；质疑供应商为法人或者其他组织的，质疑函应由法定代表人、主要负责人，或者其授权代表签字或者盖章，并加盖公章。</w:t>
      </w:r>
    </w:p>
    <w:sectPr>
      <w:pgSz w:w="11907" w:h="16840"/>
      <w:pgMar w:top="1440" w:right="1106" w:bottom="1440" w:left="1157" w:header="720" w:footer="720"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auto"/>
    <w:pitch w:val="default"/>
    <w:sig w:usb0="00000000" w:usb1="00000000" w:usb2="00000000" w:usb3="00000000" w:csb0="00040000" w:csb1="00000000"/>
  </w:font>
  <w:font w:name="monospace">
    <w:altName w:val="微软雅黑"/>
    <w:panose1 w:val="00000000000000000000"/>
    <w:charset w:val="00"/>
    <w:family w:val="auto"/>
    <w:pitch w:val="default"/>
    <w:sig w:usb0="00000000"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 w:name="Arial Unicode MS">
    <w:altName w:val="宋体"/>
    <w:panose1 w:val="020B0604020202020204"/>
    <w:charset w:val="86"/>
    <w:family w:val="swiss"/>
    <w:pitch w:val="default"/>
    <w:sig w:usb0="00000000" w:usb1="00000000" w:usb2="0000003F" w:usb3="00000000" w:csb0="603F01FF" w:csb1="FFFF0000"/>
  </w:font>
  <w:font w:name="Arial (W1)">
    <w:altName w:val="Arial"/>
    <w:panose1 w:val="00000000000000000000"/>
    <w:charset w:val="00"/>
    <w:family w:val="auto"/>
    <w:pitch w:val="default"/>
    <w:sig w:usb0="00000000" w:usb1="00000000" w:usb2="00000008" w:usb3="00000000" w:csb0="0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45CFCF">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027E5D">
    <w:pPr>
      <w:pStyle w:val="18"/>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3C8196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wps:txbx>
                    <wps:bodyPr wrap="none" lIns="0" tIns="0" rIns="0" bIns="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s0lY7tAAAAAFAQAADwAAAAAAAAABACAAAAAiAAAAZHJzL2Rvd25yZXYu&#10;eG1sUEsBAhQAFAAAAAgAh07iQHS14IjKAQAAlgMAAA4AAAAAAAAAAQAgAAAAHwEAAGRycy9lMm9E&#10;b2MueG1sUEsFBgAAAAAGAAYAWQEAAFsFAAAAAA==&#10;">
              <v:fill on="f" focussize="0,0"/>
              <v:stroke on="f" weight="0.5pt"/>
              <v:imagedata o:title=""/>
              <o:lock v:ext="edit" aspectratio="f"/>
              <v:textbox inset="0mm,0mm,0mm,0mm" style="mso-fit-shape-to-text:t;">
                <w:txbxContent>
                  <w:p w14:paraId="33C8196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81</w:t>
                    </w:r>
                    <w:r>
                      <w:rPr>
                        <w:rFonts w:hint="eastAsia"/>
                        <w:sz w:val="1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86E8D">
    <w:pPr>
      <w:pStyle w:val="18"/>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DFC3D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88</w:t>
                          </w:r>
                          <w:r>
                            <w:rPr>
                              <w:rFonts w:hint="eastAsia"/>
                              <w:sz w:val="18"/>
                            </w:rPr>
                            <w:fldChar w:fldCharType="end"/>
                          </w:r>
                        </w:p>
                      </w:txbxContent>
                    </wps:txbx>
                    <wps:bodyPr wrap="none" lIns="0" tIns="0" rIns="0" bIns="0">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DVyNriywEAAJYDAAAOAAAAAAAAAAEAIAAAAB8BAABkcnMvZTJv&#10;RG9jLnhtbFBLBQYAAAAABgAGAFkBAABcBQAAAAA=&#10;">
              <v:fill on="f" focussize="0,0"/>
              <v:stroke on="f" weight="0.5pt"/>
              <v:imagedata o:title=""/>
              <o:lock v:ext="edit" aspectratio="f"/>
              <v:textbox inset="0mm,0mm,0mm,0mm" style="mso-fit-shape-to-text:t;">
                <w:txbxContent>
                  <w:p w14:paraId="3DFC3DBA">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88</w:t>
                    </w:r>
                    <w:r>
                      <w:rPr>
                        <w:rFonts w:hint="eastAsia"/>
                        <w:sz w:val="18"/>
                      </w:rPr>
                      <w:fldChar w:fldCharType="end"/>
                    </w:r>
                  </w:p>
                </w:txbxContent>
              </v:textbox>
            </v:shape>
          </w:pict>
        </mc:Fallback>
      </mc:AlternateContent>
    </w:r>
    <w:r>
      <w:rPr>
        <w:rFonts w:hint="eastAsia"/>
        <w:shd w:val="pct10" w:color="auto" w:fill="FFFFFF"/>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D08F">
    <w:pPr>
      <w:pStyle w:val="18"/>
      <w:jc w:val="right"/>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75DF08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fOJvvLAQAAlgMAAA4AAABkcnMvZTJvRG9jLnhtbK1TzY7TMBC+I/EO&#10;lu802S6s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avKXHc4sDPP76ff/4+//pG&#10;Xmd5+gANZt0HzEvDOz/g0sz3gJeZ9aCizV/kQzCO4p4u4sohEZEfrZarVY0hgbHZQfzq8XmIkN5L&#10;b0k2GI04vSIqP36ENKbOKbma83famDJB40jP6M31m7o8uEQQ3DiskUmMzWYrDbthYrbz7QmJ9bgB&#10;jDpceErMB4cC52WZjTgbu8nI1SG8PSTsoDSWUUeoqRiOq1CbVivvw99+yXr8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AHzib7ywEAAJYDAAAOAAAAAAAAAAEAIAAAAB8BAABkcnMvZTJv&#10;RG9jLnhtbFBLBQYAAAAABgAGAFkBAABcBQAAAAA=&#10;">
              <v:fill on="f" focussize="0,0"/>
              <v:stroke on="f" weight="0.5pt"/>
              <v:imagedata o:title=""/>
              <o:lock v:ext="edit" aspectratio="f"/>
              <v:textbox inset="0mm,0mm,0mm,0mm" style="mso-fit-shape-to-text:t;">
                <w:txbxContent>
                  <w:p w14:paraId="75DF0841">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82</w:t>
                    </w:r>
                    <w:r>
                      <w:rPr>
                        <w:rFonts w:hint="eastAsia"/>
                        <w:sz w:val="1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71BB91">
    <w:pPr>
      <w:pStyle w:val="18"/>
      <w:jc w:val="right"/>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E88017D">
                          <w:pPr>
                            <w:pStyle w:val="18"/>
                            <w:rPr>
                              <w:rStyle w:val="32"/>
                            </w:rPr>
                          </w:pPr>
                          <w:r>
                            <w:fldChar w:fldCharType="begin"/>
                          </w:r>
                          <w:r>
                            <w:rPr>
                              <w:rStyle w:val="32"/>
                            </w:rPr>
                            <w:instrText xml:space="preserve">PAGE  </w:instrText>
                          </w:r>
                          <w:r>
                            <w:fldChar w:fldCharType="separate"/>
                          </w:r>
                          <w:r>
                            <w:rPr>
                              <w:rStyle w:val="32"/>
                            </w:rPr>
                            <w:t>98</w:t>
                          </w:r>
                          <w:r>
                            <w:fldChar w:fldCharType="end"/>
                          </w:r>
                        </w:p>
                      </w:txbxContent>
                    </wps:txbx>
                    <wps:bodyPr wrap="none" lIns="0" tIns="0" rIns="0" bIns="0">
                      <a:spAutoFit/>
                    </wps:bodyPr>
                  </wps:wsp>
                </a:graphicData>
              </a:graphic>
            </wp:anchor>
          </w:drawing>
        </mc:Choice>
        <mc:Fallback>
          <w:pict>
            <v:shape id="文本框 1028"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OqXm5zwAAAAUBAAAPAAAAAAAAAAEAIAAAACIAAABkcnMvZG93bnJldi54bWxQSwEC&#10;FAAUAAAACACHTuJAFLiZrsQBAACQAwAADgAAAAAAAAABACAAAAAeAQAAZHJzL2Uyb0RvYy54bWxQ&#10;SwUGAAAAAAYABgBZAQAAVAUAAAAA&#10;">
              <v:fill on="f" focussize="0,0"/>
              <v:stroke on="f"/>
              <v:imagedata o:title=""/>
              <o:lock v:ext="edit" aspectratio="f"/>
              <v:textbox inset="0mm,0mm,0mm,0mm" style="mso-fit-shape-to-text:t;">
                <w:txbxContent>
                  <w:p w14:paraId="5E88017D">
                    <w:pPr>
                      <w:pStyle w:val="18"/>
                      <w:rPr>
                        <w:rStyle w:val="32"/>
                      </w:rPr>
                    </w:pPr>
                    <w:r>
                      <w:fldChar w:fldCharType="begin"/>
                    </w:r>
                    <w:r>
                      <w:rPr>
                        <w:rStyle w:val="32"/>
                      </w:rPr>
                      <w:instrText xml:space="preserve">PAGE  </w:instrText>
                    </w:r>
                    <w:r>
                      <w:fldChar w:fldCharType="separate"/>
                    </w:r>
                    <w:r>
                      <w:rPr>
                        <w:rStyle w:val="32"/>
                      </w:rPr>
                      <w:t>98</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B1278F">
    <w:pPr>
      <w:pStyle w:val="18"/>
      <w:jc w:val="right"/>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4331D9B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111</w:t>
                          </w:r>
                          <w:r>
                            <w:rPr>
                              <w:rFonts w:hint="eastAsia"/>
                              <w:sz w:val="18"/>
                            </w:rPr>
                            <w:fldChar w:fldCharType="end"/>
                          </w:r>
                        </w:p>
                      </w:txbxContent>
                    </wps:txbx>
                    <wps:bodyPr wrap="none" lIns="0" tIns="0" rIns="0" bIns="0">
                      <a:spAutoFit/>
                    </wps:bodyPr>
                  </wps:wsp>
                </a:graphicData>
              </a:graphic>
            </wp:anchor>
          </w:drawing>
        </mc:Choice>
        <mc:Fallback>
          <w:pict>
            <v:shape id="文本框 5"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NJWO7QAAAABQEAAA8AAAAAAAAAAQAgAAAAIgAAAGRycy9kb3ducmV2&#10;LnhtbFBLAQIUABQAAAAIAIdO4kAW9X0uywEAAJYDAAAOAAAAAAAAAAEAIAAAAB8BAABkcnMvZTJv&#10;RG9jLnhtbFBLBQYAAAAABgAGAFkBAABcBQAAAAA=&#10;">
              <v:fill on="f" focussize="0,0"/>
              <v:stroke on="f" weight="0.5pt"/>
              <v:imagedata o:title=""/>
              <o:lock v:ext="edit" aspectratio="f"/>
              <v:textbox inset="0mm,0mm,0mm,0mm" style="mso-fit-shape-to-text:t;">
                <w:txbxContent>
                  <w:p w14:paraId="4331D9BE">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111</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481F7">
    <w:pPr>
      <w:pStyle w:val="19"/>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58EC8B">
    <w:pPr>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73B149">
    <w:pPr>
      <w:pStyle w:val="19"/>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09CE6">
    <w:pPr>
      <w:pStyle w:val="19"/>
      <w:pBdr>
        <w:bottom w:val="none" w:color="auto" w:sz="0" w:space="1"/>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1FBD91"/>
    <w:multiLevelType w:val="multilevel"/>
    <w:tmpl w:val="AF1FBD91"/>
    <w:lvl w:ilvl="0" w:tentative="0">
      <w:start w:val="1"/>
      <w:numFmt w:val="decimal"/>
      <w:suff w:val="nothing"/>
      <w:lvlText w:val="%1"/>
      <w:lvlJc w:val="left"/>
      <w:pPr>
        <w:tabs>
          <w:tab w:val="left" w:pos="0"/>
        </w:tabs>
        <w:ind w:left="720" w:hanging="720"/>
      </w:pPr>
      <w:rPr>
        <w:rFonts w:hint="default"/>
      </w:rPr>
    </w:lvl>
    <w:lvl w:ilvl="1" w:tentative="0">
      <w:start w:val="1"/>
      <w:numFmt w:val="decimal"/>
      <w:lvlText w:val="%2."/>
      <w:lvlJc w:val="left"/>
      <w:pPr>
        <w:tabs>
          <w:tab w:val="left" w:pos="720"/>
        </w:tabs>
        <w:ind w:left="720" w:hanging="720"/>
      </w:pPr>
      <w:rPr>
        <w:rFonts w:hint="default" w:ascii="Arial (W1)" w:hAnsi="Arial (W1)"/>
        <w:b/>
        <w:i w:val="0"/>
        <w:sz w:val="28"/>
      </w:rPr>
    </w:lvl>
    <w:lvl w:ilvl="2" w:tentative="0">
      <w:start w:val="1"/>
      <w:numFmt w:val="decimal"/>
      <w:lvlText w:val="%1.%3."/>
      <w:lvlJc w:val="left"/>
      <w:pPr>
        <w:tabs>
          <w:tab w:val="left" w:pos="720"/>
        </w:tabs>
        <w:ind w:left="720" w:hanging="720"/>
      </w:pPr>
      <w:rPr>
        <w:rFonts w:hint="default"/>
      </w:rPr>
    </w:lvl>
    <w:lvl w:ilvl="3" w:tentative="0">
      <w:start w:val="1"/>
      <w:numFmt w:val="decimal"/>
      <w:lvlText w:val="%1.%3.%4."/>
      <w:lvlJc w:val="left"/>
      <w:pPr>
        <w:tabs>
          <w:tab w:val="left" w:pos="1728"/>
        </w:tabs>
        <w:ind w:left="1728" w:hanging="648"/>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60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1">
    <w:nsid w:val="19DE2C87"/>
    <w:multiLevelType w:val="singleLevel"/>
    <w:tmpl w:val="19DE2C87"/>
    <w:lvl w:ilvl="0" w:tentative="0">
      <w:start w:val="1"/>
      <w:numFmt w:val="decimal"/>
      <w:suff w:val="nothing"/>
      <w:lvlText w:val="（%1）"/>
      <w:lvlJc w:val="left"/>
    </w:lvl>
  </w:abstractNum>
  <w:abstractNum w:abstractNumId="2">
    <w:nsid w:val="54F403B5"/>
    <w:multiLevelType w:val="singleLevel"/>
    <w:tmpl w:val="54F403B5"/>
    <w:lvl w:ilvl="0" w:tentative="0">
      <w:start w:val="1"/>
      <w:numFmt w:val="chineseCounting"/>
      <w:suff w:val="nothing"/>
      <w:lvlText w:val="%1、"/>
      <w:lvlJc w:val="left"/>
    </w:lvl>
  </w:abstractNum>
  <w:abstractNum w:abstractNumId="3">
    <w:nsid w:val="557FD3DA"/>
    <w:multiLevelType w:val="singleLevel"/>
    <w:tmpl w:val="557FD3DA"/>
    <w:lvl w:ilvl="0" w:tentative="0">
      <w:start w:val="3"/>
      <w:numFmt w:val="chineseCounting"/>
      <w:suff w:val="nothing"/>
      <w:lvlText w:val="%1、"/>
      <w:lvlJc w:val="left"/>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djNmQ1MGRjMzUzYmFiMjMwOWMzMTQ2NzMxNzRhYzkifQ=="/>
  </w:docVars>
  <w:rsids>
    <w:rsidRoot w:val="0984370C"/>
    <w:rsid w:val="00041E3C"/>
    <w:rsid w:val="00044EF2"/>
    <w:rsid w:val="000809C3"/>
    <w:rsid w:val="000971A9"/>
    <w:rsid w:val="000C55AC"/>
    <w:rsid w:val="000C7032"/>
    <w:rsid w:val="000D0B2A"/>
    <w:rsid w:val="000D7AD0"/>
    <w:rsid w:val="000E55C5"/>
    <w:rsid w:val="0012649A"/>
    <w:rsid w:val="00160C88"/>
    <w:rsid w:val="001630AF"/>
    <w:rsid w:val="001B213F"/>
    <w:rsid w:val="001B2F1F"/>
    <w:rsid w:val="001B3461"/>
    <w:rsid w:val="001D032E"/>
    <w:rsid w:val="002226A9"/>
    <w:rsid w:val="002353B5"/>
    <w:rsid w:val="00290B88"/>
    <w:rsid w:val="00291449"/>
    <w:rsid w:val="002D5EBB"/>
    <w:rsid w:val="002F74EF"/>
    <w:rsid w:val="0031094C"/>
    <w:rsid w:val="00344060"/>
    <w:rsid w:val="00353889"/>
    <w:rsid w:val="00354BFA"/>
    <w:rsid w:val="00355FFB"/>
    <w:rsid w:val="00382F51"/>
    <w:rsid w:val="003E1BBC"/>
    <w:rsid w:val="003F11C3"/>
    <w:rsid w:val="0040602D"/>
    <w:rsid w:val="0041666E"/>
    <w:rsid w:val="00436C08"/>
    <w:rsid w:val="00460282"/>
    <w:rsid w:val="00471C79"/>
    <w:rsid w:val="0049354C"/>
    <w:rsid w:val="004A08DF"/>
    <w:rsid w:val="004A30DD"/>
    <w:rsid w:val="004D6A9B"/>
    <w:rsid w:val="004F14AE"/>
    <w:rsid w:val="005326E5"/>
    <w:rsid w:val="00533878"/>
    <w:rsid w:val="00534064"/>
    <w:rsid w:val="00547ED5"/>
    <w:rsid w:val="00576A3A"/>
    <w:rsid w:val="005A5126"/>
    <w:rsid w:val="005E03FC"/>
    <w:rsid w:val="005E1230"/>
    <w:rsid w:val="005E150A"/>
    <w:rsid w:val="005F0F67"/>
    <w:rsid w:val="005F4717"/>
    <w:rsid w:val="0060262A"/>
    <w:rsid w:val="00606073"/>
    <w:rsid w:val="00613514"/>
    <w:rsid w:val="00666DB3"/>
    <w:rsid w:val="00676A0C"/>
    <w:rsid w:val="00690CD2"/>
    <w:rsid w:val="006969CA"/>
    <w:rsid w:val="006B7130"/>
    <w:rsid w:val="006C3E86"/>
    <w:rsid w:val="007141B4"/>
    <w:rsid w:val="00720EA0"/>
    <w:rsid w:val="00721AED"/>
    <w:rsid w:val="00726EFC"/>
    <w:rsid w:val="00732C93"/>
    <w:rsid w:val="007732FE"/>
    <w:rsid w:val="00793009"/>
    <w:rsid w:val="007968C9"/>
    <w:rsid w:val="007A6F63"/>
    <w:rsid w:val="007B027C"/>
    <w:rsid w:val="007E6CF0"/>
    <w:rsid w:val="007F2E02"/>
    <w:rsid w:val="007F7C8C"/>
    <w:rsid w:val="00814FB9"/>
    <w:rsid w:val="008C3344"/>
    <w:rsid w:val="008C4D8F"/>
    <w:rsid w:val="008C6F62"/>
    <w:rsid w:val="008E7BB3"/>
    <w:rsid w:val="00902983"/>
    <w:rsid w:val="00915903"/>
    <w:rsid w:val="009278D3"/>
    <w:rsid w:val="009340FE"/>
    <w:rsid w:val="009600D9"/>
    <w:rsid w:val="009708CD"/>
    <w:rsid w:val="009E61C8"/>
    <w:rsid w:val="00A01EDA"/>
    <w:rsid w:val="00A44765"/>
    <w:rsid w:val="00A605DC"/>
    <w:rsid w:val="00A80681"/>
    <w:rsid w:val="00AA55F0"/>
    <w:rsid w:val="00AC5B18"/>
    <w:rsid w:val="00AD511E"/>
    <w:rsid w:val="00AF4FB9"/>
    <w:rsid w:val="00B02EE3"/>
    <w:rsid w:val="00B200B1"/>
    <w:rsid w:val="00B300D7"/>
    <w:rsid w:val="00B32434"/>
    <w:rsid w:val="00B45994"/>
    <w:rsid w:val="00B72D48"/>
    <w:rsid w:val="00B87B92"/>
    <w:rsid w:val="00BA352C"/>
    <w:rsid w:val="00BD67E5"/>
    <w:rsid w:val="00C02D79"/>
    <w:rsid w:val="00C25280"/>
    <w:rsid w:val="00C25DB6"/>
    <w:rsid w:val="00C27CBA"/>
    <w:rsid w:val="00C35DC4"/>
    <w:rsid w:val="00CF4922"/>
    <w:rsid w:val="00D526C3"/>
    <w:rsid w:val="00D5286B"/>
    <w:rsid w:val="00D63A4C"/>
    <w:rsid w:val="00D679F8"/>
    <w:rsid w:val="00DB6F06"/>
    <w:rsid w:val="00DC3E1C"/>
    <w:rsid w:val="00DD3279"/>
    <w:rsid w:val="00E20CE5"/>
    <w:rsid w:val="00E348AA"/>
    <w:rsid w:val="00E36304"/>
    <w:rsid w:val="00E75A51"/>
    <w:rsid w:val="00E76B4D"/>
    <w:rsid w:val="00EA78A3"/>
    <w:rsid w:val="00ED6CBC"/>
    <w:rsid w:val="00EF08E4"/>
    <w:rsid w:val="00F066DA"/>
    <w:rsid w:val="00F451B8"/>
    <w:rsid w:val="00F871BC"/>
    <w:rsid w:val="010158D6"/>
    <w:rsid w:val="010854CD"/>
    <w:rsid w:val="011A5D63"/>
    <w:rsid w:val="011D2710"/>
    <w:rsid w:val="01205BB8"/>
    <w:rsid w:val="012A0989"/>
    <w:rsid w:val="01302E15"/>
    <w:rsid w:val="01345E86"/>
    <w:rsid w:val="014F1046"/>
    <w:rsid w:val="0160164B"/>
    <w:rsid w:val="016C2D4F"/>
    <w:rsid w:val="01727438"/>
    <w:rsid w:val="017A36FD"/>
    <w:rsid w:val="018379C9"/>
    <w:rsid w:val="01895C07"/>
    <w:rsid w:val="018B6894"/>
    <w:rsid w:val="01995BAA"/>
    <w:rsid w:val="01A60743"/>
    <w:rsid w:val="01AC5842"/>
    <w:rsid w:val="01B57AA4"/>
    <w:rsid w:val="01BD35AB"/>
    <w:rsid w:val="01C225F2"/>
    <w:rsid w:val="01CD39B4"/>
    <w:rsid w:val="01D3030E"/>
    <w:rsid w:val="01D83224"/>
    <w:rsid w:val="01E22D7D"/>
    <w:rsid w:val="01EA0118"/>
    <w:rsid w:val="01F82AD7"/>
    <w:rsid w:val="01F86CD9"/>
    <w:rsid w:val="02076197"/>
    <w:rsid w:val="023A7B7C"/>
    <w:rsid w:val="025078D7"/>
    <w:rsid w:val="02544B87"/>
    <w:rsid w:val="026362FC"/>
    <w:rsid w:val="02775BE8"/>
    <w:rsid w:val="027C13E2"/>
    <w:rsid w:val="02976F77"/>
    <w:rsid w:val="029C58B6"/>
    <w:rsid w:val="02AF1C72"/>
    <w:rsid w:val="02B01361"/>
    <w:rsid w:val="02C12630"/>
    <w:rsid w:val="02CA179F"/>
    <w:rsid w:val="02EA62D0"/>
    <w:rsid w:val="02F8266E"/>
    <w:rsid w:val="03090194"/>
    <w:rsid w:val="031734EF"/>
    <w:rsid w:val="031B1345"/>
    <w:rsid w:val="03214DA3"/>
    <w:rsid w:val="032A08BF"/>
    <w:rsid w:val="035C6DF3"/>
    <w:rsid w:val="036120F0"/>
    <w:rsid w:val="036D3220"/>
    <w:rsid w:val="03716D43"/>
    <w:rsid w:val="038C1E2A"/>
    <w:rsid w:val="039211E8"/>
    <w:rsid w:val="03936CB9"/>
    <w:rsid w:val="039D4F10"/>
    <w:rsid w:val="03A6563A"/>
    <w:rsid w:val="03AC7394"/>
    <w:rsid w:val="03C661BF"/>
    <w:rsid w:val="03C837AB"/>
    <w:rsid w:val="03D33F30"/>
    <w:rsid w:val="03D41080"/>
    <w:rsid w:val="03D52F56"/>
    <w:rsid w:val="03D609D8"/>
    <w:rsid w:val="03E125EC"/>
    <w:rsid w:val="03FF434E"/>
    <w:rsid w:val="040D4BBB"/>
    <w:rsid w:val="040F5AE1"/>
    <w:rsid w:val="042602A4"/>
    <w:rsid w:val="042E69E2"/>
    <w:rsid w:val="043438CC"/>
    <w:rsid w:val="04480CE1"/>
    <w:rsid w:val="04506D6A"/>
    <w:rsid w:val="0452607D"/>
    <w:rsid w:val="045301F6"/>
    <w:rsid w:val="048358F9"/>
    <w:rsid w:val="04A11AE9"/>
    <w:rsid w:val="04A55D86"/>
    <w:rsid w:val="04BC45FD"/>
    <w:rsid w:val="04CD7F6B"/>
    <w:rsid w:val="04D32E79"/>
    <w:rsid w:val="04DD0B5F"/>
    <w:rsid w:val="04E3143E"/>
    <w:rsid w:val="05002A44"/>
    <w:rsid w:val="05191440"/>
    <w:rsid w:val="052054F7"/>
    <w:rsid w:val="052615FE"/>
    <w:rsid w:val="055B78DA"/>
    <w:rsid w:val="056343CD"/>
    <w:rsid w:val="057014F2"/>
    <w:rsid w:val="05723C7C"/>
    <w:rsid w:val="05875678"/>
    <w:rsid w:val="05925162"/>
    <w:rsid w:val="05C075FF"/>
    <w:rsid w:val="05C8248C"/>
    <w:rsid w:val="05C827FC"/>
    <w:rsid w:val="05F92C5C"/>
    <w:rsid w:val="05FF16A9"/>
    <w:rsid w:val="060317A8"/>
    <w:rsid w:val="06085010"/>
    <w:rsid w:val="06086F38"/>
    <w:rsid w:val="060A6FDB"/>
    <w:rsid w:val="06144B58"/>
    <w:rsid w:val="06436049"/>
    <w:rsid w:val="06544FAB"/>
    <w:rsid w:val="065B747D"/>
    <w:rsid w:val="06645CA5"/>
    <w:rsid w:val="066D4490"/>
    <w:rsid w:val="06952B17"/>
    <w:rsid w:val="069A7E12"/>
    <w:rsid w:val="069C40D7"/>
    <w:rsid w:val="06A9177A"/>
    <w:rsid w:val="06AC1035"/>
    <w:rsid w:val="06D80E87"/>
    <w:rsid w:val="06F20789"/>
    <w:rsid w:val="071A324D"/>
    <w:rsid w:val="072A0DCF"/>
    <w:rsid w:val="07455FA1"/>
    <w:rsid w:val="074657DB"/>
    <w:rsid w:val="074A1A9F"/>
    <w:rsid w:val="075F2127"/>
    <w:rsid w:val="0764488E"/>
    <w:rsid w:val="076D0DDC"/>
    <w:rsid w:val="07783F8B"/>
    <w:rsid w:val="07995B53"/>
    <w:rsid w:val="07A82FEA"/>
    <w:rsid w:val="07AA630B"/>
    <w:rsid w:val="07B7616C"/>
    <w:rsid w:val="07B95D8B"/>
    <w:rsid w:val="07BB6C8C"/>
    <w:rsid w:val="07C01D1D"/>
    <w:rsid w:val="07D53466"/>
    <w:rsid w:val="07E43A81"/>
    <w:rsid w:val="07E76C04"/>
    <w:rsid w:val="07EF46DA"/>
    <w:rsid w:val="08014519"/>
    <w:rsid w:val="08030185"/>
    <w:rsid w:val="08167BBE"/>
    <w:rsid w:val="08191757"/>
    <w:rsid w:val="081B727D"/>
    <w:rsid w:val="0825634E"/>
    <w:rsid w:val="08302794"/>
    <w:rsid w:val="083D5414"/>
    <w:rsid w:val="083E2E96"/>
    <w:rsid w:val="08456F9D"/>
    <w:rsid w:val="084B472A"/>
    <w:rsid w:val="084B7A66"/>
    <w:rsid w:val="0858227F"/>
    <w:rsid w:val="08986A27"/>
    <w:rsid w:val="08A00EE9"/>
    <w:rsid w:val="08A3063C"/>
    <w:rsid w:val="08A81C9B"/>
    <w:rsid w:val="08B44F60"/>
    <w:rsid w:val="08BE59DA"/>
    <w:rsid w:val="08E2593F"/>
    <w:rsid w:val="090504BF"/>
    <w:rsid w:val="090B488B"/>
    <w:rsid w:val="09295FE7"/>
    <w:rsid w:val="09562DBC"/>
    <w:rsid w:val="095830FB"/>
    <w:rsid w:val="09656115"/>
    <w:rsid w:val="096E3EDC"/>
    <w:rsid w:val="097C031F"/>
    <w:rsid w:val="0984370C"/>
    <w:rsid w:val="098A1833"/>
    <w:rsid w:val="09942142"/>
    <w:rsid w:val="099E62D5"/>
    <w:rsid w:val="099F3D57"/>
    <w:rsid w:val="09D20B4E"/>
    <w:rsid w:val="09D56068"/>
    <w:rsid w:val="09D9119E"/>
    <w:rsid w:val="09D92F9B"/>
    <w:rsid w:val="09E35B78"/>
    <w:rsid w:val="09F9316B"/>
    <w:rsid w:val="09FF022D"/>
    <w:rsid w:val="0A0C0525"/>
    <w:rsid w:val="0A213CF4"/>
    <w:rsid w:val="0A271761"/>
    <w:rsid w:val="0A286239"/>
    <w:rsid w:val="0A2C21B6"/>
    <w:rsid w:val="0A334D52"/>
    <w:rsid w:val="0A3D57A2"/>
    <w:rsid w:val="0A3D6B27"/>
    <w:rsid w:val="0A3E3CF5"/>
    <w:rsid w:val="0A3E54A5"/>
    <w:rsid w:val="0A3F5E5E"/>
    <w:rsid w:val="0A745034"/>
    <w:rsid w:val="0A805ABD"/>
    <w:rsid w:val="0A8D4C82"/>
    <w:rsid w:val="0A927E67"/>
    <w:rsid w:val="0A9F522E"/>
    <w:rsid w:val="0AA55803"/>
    <w:rsid w:val="0AA76940"/>
    <w:rsid w:val="0AB15C77"/>
    <w:rsid w:val="0AEC727C"/>
    <w:rsid w:val="0AEE5030"/>
    <w:rsid w:val="0AF83D3C"/>
    <w:rsid w:val="0AFA22DE"/>
    <w:rsid w:val="0B0C7351"/>
    <w:rsid w:val="0B0D1568"/>
    <w:rsid w:val="0B141172"/>
    <w:rsid w:val="0B1E057C"/>
    <w:rsid w:val="0B3550F2"/>
    <w:rsid w:val="0B5B3E3A"/>
    <w:rsid w:val="0B6B594F"/>
    <w:rsid w:val="0B7061D0"/>
    <w:rsid w:val="0B7550AF"/>
    <w:rsid w:val="0B7E11CA"/>
    <w:rsid w:val="0B7F6DC4"/>
    <w:rsid w:val="0B982C8E"/>
    <w:rsid w:val="0BA12222"/>
    <w:rsid w:val="0BA13F3D"/>
    <w:rsid w:val="0BAC331A"/>
    <w:rsid w:val="0BAD28E2"/>
    <w:rsid w:val="0BD06D33"/>
    <w:rsid w:val="0BEA7DE9"/>
    <w:rsid w:val="0BEC35D5"/>
    <w:rsid w:val="0BFF2F60"/>
    <w:rsid w:val="0C00649E"/>
    <w:rsid w:val="0C01741F"/>
    <w:rsid w:val="0C08603B"/>
    <w:rsid w:val="0C091155"/>
    <w:rsid w:val="0C0F058D"/>
    <w:rsid w:val="0C211085"/>
    <w:rsid w:val="0C2F5CE5"/>
    <w:rsid w:val="0C3152C1"/>
    <w:rsid w:val="0C3C06D6"/>
    <w:rsid w:val="0C3F3894"/>
    <w:rsid w:val="0C670E7C"/>
    <w:rsid w:val="0C747BE1"/>
    <w:rsid w:val="0C7B02EA"/>
    <w:rsid w:val="0CB6290E"/>
    <w:rsid w:val="0CBD16F5"/>
    <w:rsid w:val="0CC67C0B"/>
    <w:rsid w:val="0CD72A6E"/>
    <w:rsid w:val="0CDF3D0D"/>
    <w:rsid w:val="0CE05439"/>
    <w:rsid w:val="0CE560AB"/>
    <w:rsid w:val="0CFF2C96"/>
    <w:rsid w:val="0D0226E7"/>
    <w:rsid w:val="0D0227BA"/>
    <w:rsid w:val="0D0475DE"/>
    <w:rsid w:val="0D15459B"/>
    <w:rsid w:val="0D2F254B"/>
    <w:rsid w:val="0D395DCD"/>
    <w:rsid w:val="0D417786"/>
    <w:rsid w:val="0D5C629C"/>
    <w:rsid w:val="0D6214AA"/>
    <w:rsid w:val="0D743CCE"/>
    <w:rsid w:val="0D7446FA"/>
    <w:rsid w:val="0D7B2DAD"/>
    <w:rsid w:val="0DB6770F"/>
    <w:rsid w:val="0DBF42FF"/>
    <w:rsid w:val="0DDF40A3"/>
    <w:rsid w:val="0DED6FC6"/>
    <w:rsid w:val="0E074511"/>
    <w:rsid w:val="0E19600D"/>
    <w:rsid w:val="0E1C1499"/>
    <w:rsid w:val="0E2F5830"/>
    <w:rsid w:val="0E356BBF"/>
    <w:rsid w:val="0E46377B"/>
    <w:rsid w:val="0E63197E"/>
    <w:rsid w:val="0E6E7CD6"/>
    <w:rsid w:val="0E7D5E53"/>
    <w:rsid w:val="0EA0188B"/>
    <w:rsid w:val="0EA0228A"/>
    <w:rsid w:val="0EA05576"/>
    <w:rsid w:val="0EB648C8"/>
    <w:rsid w:val="0EBB5AE7"/>
    <w:rsid w:val="0ECC12D1"/>
    <w:rsid w:val="0EE35DB9"/>
    <w:rsid w:val="0EF8693D"/>
    <w:rsid w:val="0F087FB5"/>
    <w:rsid w:val="0F1473FB"/>
    <w:rsid w:val="0F307AB2"/>
    <w:rsid w:val="0F7726DF"/>
    <w:rsid w:val="0F7B18E8"/>
    <w:rsid w:val="0F97226F"/>
    <w:rsid w:val="0F9B6046"/>
    <w:rsid w:val="0FA40ECB"/>
    <w:rsid w:val="0FB43F9D"/>
    <w:rsid w:val="0FB75ADD"/>
    <w:rsid w:val="0FBD2063"/>
    <w:rsid w:val="0FBE65E3"/>
    <w:rsid w:val="0FC95E75"/>
    <w:rsid w:val="0FD146C5"/>
    <w:rsid w:val="10082EB6"/>
    <w:rsid w:val="100F2D66"/>
    <w:rsid w:val="1024166A"/>
    <w:rsid w:val="1026620F"/>
    <w:rsid w:val="1028629D"/>
    <w:rsid w:val="104A18C6"/>
    <w:rsid w:val="104E26BF"/>
    <w:rsid w:val="104F3929"/>
    <w:rsid w:val="105D36FE"/>
    <w:rsid w:val="10692AC2"/>
    <w:rsid w:val="10781FC8"/>
    <w:rsid w:val="10790217"/>
    <w:rsid w:val="107A78DA"/>
    <w:rsid w:val="1084524A"/>
    <w:rsid w:val="10BA53FD"/>
    <w:rsid w:val="10BB2E7F"/>
    <w:rsid w:val="10D95617"/>
    <w:rsid w:val="10DC3590"/>
    <w:rsid w:val="10E21D49"/>
    <w:rsid w:val="10F1115B"/>
    <w:rsid w:val="10FB387F"/>
    <w:rsid w:val="10FB74BF"/>
    <w:rsid w:val="111156C1"/>
    <w:rsid w:val="11185797"/>
    <w:rsid w:val="111972EE"/>
    <w:rsid w:val="111D5F75"/>
    <w:rsid w:val="113849FC"/>
    <w:rsid w:val="11470A12"/>
    <w:rsid w:val="116A1D1E"/>
    <w:rsid w:val="11764849"/>
    <w:rsid w:val="117B32BD"/>
    <w:rsid w:val="11A256FB"/>
    <w:rsid w:val="11B20C52"/>
    <w:rsid w:val="11BC62A5"/>
    <w:rsid w:val="11DC0AA5"/>
    <w:rsid w:val="11F56C74"/>
    <w:rsid w:val="12173EFB"/>
    <w:rsid w:val="12193AFD"/>
    <w:rsid w:val="121C60CC"/>
    <w:rsid w:val="1220184D"/>
    <w:rsid w:val="12295E7D"/>
    <w:rsid w:val="123526EB"/>
    <w:rsid w:val="125A03CD"/>
    <w:rsid w:val="126D60C9"/>
    <w:rsid w:val="127D4165"/>
    <w:rsid w:val="12832EBF"/>
    <w:rsid w:val="12841571"/>
    <w:rsid w:val="12A96320"/>
    <w:rsid w:val="12B94EC3"/>
    <w:rsid w:val="12D40754"/>
    <w:rsid w:val="12E2190B"/>
    <w:rsid w:val="12E6735C"/>
    <w:rsid w:val="12F85CAD"/>
    <w:rsid w:val="13300A18"/>
    <w:rsid w:val="133441B3"/>
    <w:rsid w:val="1346072F"/>
    <w:rsid w:val="13510A26"/>
    <w:rsid w:val="135875D7"/>
    <w:rsid w:val="135D699C"/>
    <w:rsid w:val="13650603"/>
    <w:rsid w:val="13684E9C"/>
    <w:rsid w:val="136917E4"/>
    <w:rsid w:val="136B5578"/>
    <w:rsid w:val="136F1779"/>
    <w:rsid w:val="13893636"/>
    <w:rsid w:val="1396656C"/>
    <w:rsid w:val="13987DB4"/>
    <w:rsid w:val="13A117B4"/>
    <w:rsid w:val="13B31152"/>
    <w:rsid w:val="13C44B8A"/>
    <w:rsid w:val="13C66783"/>
    <w:rsid w:val="13C93E53"/>
    <w:rsid w:val="13CA6005"/>
    <w:rsid w:val="13CB1888"/>
    <w:rsid w:val="13D8547C"/>
    <w:rsid w:val="13E33120"/>
    <w:rsid w:val="13E62E35"/>
    <w:rsid w:val="13EC34E5"/>
    <w:rsid w:val="13FD3CDB"/>
    <w:rsid w:val="142404F1"/>
    <w:rsid w:val="14245587"/>
    <w:rsid w:val="14363187"/>
    <w:rsid w:val="143F0636"/>
    <w:rsid w:val="144C0FB4"/>
    <w:rsid w:val="14575AE1"/>
    <w:rsid w:val="14706BA3"/>
    <w:rsid w:val="14807650"/>
    <w:rsid w:val="149C415F"/>
    <w:rsid w:val="149E54BE"/>
    <w:rsid w:val="14B97E8C"/>
    <w:rsid w:val="14C04C8C"/>
    <w:rsid w:val="14E24C7A"/>
    <w:rsid w:val="14E34525"/>
    <w:rsid w:val="14EC51E3"/>
    <w:rsid w:val="14FA66F7"/>
    <w:rsid w:val="15096D11"/>
    <w:rsid w:val="15131A84"/>
    <w:rsid w:val="152D4DEF"/>
    <w:rsid w:val="153579F9"/>
    <w:rsid w:val="156947AC"/>
    <w:rsid w:val="15715056"/>
    <w:rsid w:val="158F35DD"/>
    <w:rsid w:val="159D247E"/>
    <w:rsid w:val="159E329B"/>
    <w:rsid w:val="15A54611"/>
    <w:rsid w:val="15D17368"/>
    <w:rsid w:val="15E05662"/>
    <w:rsid w:val="15EC04AB"/>
    <w:rsid w:val="15EE7D7F"/>
    <w:rsid w:val="15F35C13"/>
    <w:rsid w:val="15F8213A"/>
    <w:rsid w:val="15F9269F"/>
    <w:rsid w:val="15FD5E75"/>
    <w:rsid w:val="15FF01DE"/>
    <w:rsid w:val="1600268E"/>
    <w:rsid w:val="16003A26"/>
    <w:rsid w:val="163D2AB4"/>
    <w:rsid w:val="16460917"/>
    <w:rsid w:val="16563013"/>
    <w:rsid w:val="16651F56"/>
    <w:rsid w:val="1675224E"/>
    <w:rsid w:val="168E458F"/>
    <w:rsid w:val="16AA7D9E"/>
    <w:rsid w:val="16C45831"/>
    <w:rsid w:val="16C90357"/>
    <w:rsid w:val="16DC407B"/>
    <w:rsid w:val="16DF576F"/>
    <w:rsid w:val="17144E25"/>
    <w:rsid w:val="172A046C"/>
    <w:rsid w:val="175A07E0"/>
    <w:rsid w:val="175B5F64"/>
    <w:rsid w:val="17620A24"/>
    <w:rsid w:val="17681CF4"/>
    <w:rsid w:val="176D617B"/>
    <w:rsid w:val="17A10651"/>
    <w:rsid w:val="17E91348"/>
    <w:rsid w:val="18027B12"/>
    <w:rsid w:val="18077A2D"/>
    <w:rsid w:val="181E5F5D"/>
    <w:rsid w:val="18324C3F"/>
    <w:rsid w:val="18344A58"/>
    <w:rsid w:val="18386B49"/>
    <w:rsid w:val="183D3240"/>
    <w:rsid w:val="18430CCB"/>
    <w:rsid w:val="185C7A25"/>
    <w:rsid w:val="18695828"/>
    <w:rsid w:val="1872382B"/>
    <w:rsid w:val="18854A4A"/>
    <w:rsid w:val="188D6746"/>
    <w:rsid w:val="188E5E55"/>
    <w:rsid w:val="18996136"/>
    <w:rsid w:val="18A62A00"/>
    <w:rsid w:val="18A631A0"/>
    <w:rsid w:val="18A6717D"/>
    <w:rsid w:val="18B8071C"/>
    <w:rsid w:val="18BB5017"/>
    <w:rsid w:val="18CC5500"/>
    <w:rsid w:val="18D405F6"/>
    <w:rsid w:val="18DA0A8E"/>
    <w:rsid w:val="18E27836"/>
    <w:rsid w:val="18FC27B3"/>
    <w:rsid w:val="18FC310E"/>
    <w:rsid w:val="1905081B"/>
    <w:rsid w:val="19285748"/>
    <w:rsid w:val="196562B6"/>
    <w:rsid w:val="19680B28"/>
    <w:rsid w:val="197A4BF2"/>
    <w:rsid w:val="19AD4629"/>
    <w:rsid w:val="19C652A8"/>
    <w:rsid w:val="19FD1DFB"/>
    <w:rsid w:val="1A003F36"/>
    <w:rsid w:val="1A0A60E9"/>
    <w:rsid w:val="1A220020"/>
    <w:rsid w:val="1A3A7593"/>
    <w:rsid w:val="1A481FA6"/>
    <w:rsid w:val="1A4E5290"/>
    <w:rsid w:val="1A643C5B"/>
    <w:rsid w:val="1A690C8F"/>
    <w:rsid w:val="1A8A3E9A"/>
    <w:rsid w:val="1A8D39D6"/>
    <w:rsid w:val="1A9B6333"/>
    <w:rsid w:val="1AB26716"/>
    <w:rsid w:val="1ACA6877"/>
    <w:rsid w:val="1AD25EC1"/>
    <w:rsid w:val="1AD80FFE"/>
    <w:rsid w:val="1AD95F08"/>
    <w:rsid w:val="1ADB29A0"/>
    <w:rsid w:val="1AE532AF"/>
    <w:rsid w:val="1AE74234"/>
    <w:rsid w:val="1AE94D58"/>
    <w:rsid w:val="1B2D36A3"/>
    <w:rsid w:val="1B575FC4"/>
    <w:rsid w:val="1B59213E"/>
    <w:rsid w:val="1B5A129B"/>
    <w:rsid w:val="1B5F18F4"/>
    <w:rsid w:val="1B726396"/>
    <w:rsid w:val="1B877235"/>
    <w:rsid w:val="1B8E2FB5"/>
    <w:rsid w:val="1B917C23"/>
    <w:rsid w:val="1BA6336D"/>
    <w:rsid w:val="1BB004AD"/>
    <w:rsid w:val="1BC229A4"/>
    <w:rsid w:val="1BC3238D"/>
    <w:rsid w:val="1BC72FED"/>
    <w:rsid w:val="1BCB46BE"/>
    <w:rsid w:val="1BCC110E"/>
    <w:rsid w:val="1BF73705"/>
    <w:rsid w:val="1C0025BA"/>
    <w:rsid w:val="1C00530A"/>
    <w:rsid w:val="1C0876C1"/>
    <w:rsid w:val="1C0D4016"/>
    <w:rsid w:val="1C0E2F29"/>
    <w:rsid w:val="1C381D54"/>
    <w:rsid w:val="1C4F4A80"/>
    <w:rsid w:val="1C504EAB"/>
    <w:rsid w:val="1C5C1105"/>
    <w:rsid w:val="1C5E7298"/>
    <w:rsid w:val="1C7A236C"/>
    <w:rsid w:val="1C820752"/>
    <w:rsid w:val="1C9F7B87"/>
    <w:rsid w:val="1CA12143"/>
    <w:rsid w:val="1CA7394F"/>
    <w:rsid w:val="1CBA09BB"/>
    <w:rsid w:val="1CBB2985"/>
    <w:rsid w:val="1CCE4466"/>
    <w:rsid w:val="1CD0325F"/>
    <w:rsid w:val="1CD34FF1"/>
    <w:rsid w:val="1CE444A6"/>
    <w:rsid w:val="1CF2439F"/>
    <w:rsid w:val="1CF3558E"/>
    <w:rsid w:val="1D0205B4"/>
    <w:rsid w:val="1D053ADB"/>
    <w:rsid w:val="1D085BCA"/>
    <w:rsid w:val="1D0F1968"/>
    <w:rsid w:val="1D122720"/>
    <w:rsid w:val="1D1F4309"/>
    <w:rsid w:val="1D301809"/>
    <w:rsid w:val="1D343087"/>
    <w:rsid w:val="1D3B2DA7"/>
    <w:rsid w:val="1D495F9C"/>
    <w:rsid w:val="1D4E0DCB"/>
    <w:rsid w:val="1D6B2D1C"/>
    <w:rsid w:val="1D6D3C7F"/>
    <w:rsid w:val="1D8160F6"/>
    <w:rsid w:val="1D87544D"/>
    <w:rsid w:val="1D9822C6"/>
    <w:rsid w:val="1DA86D22"/>
    <w:rsid w:val="1DB3380F"/>
    <w:rsid w:val="1DB84052"/>
    <w:rsid w:val="1DDB7A8A"/>
    <w:rsid w:val="1DF0665E"/>
    <w:rsid w:val="1DF45021"/>
    <w:rsid w:val="1DF90653"/>
    <w:rsid w:val="1E0E7233"/>
    <w:rsid w:val="1E205195"/>
    <w:rsid w:val="1E3511F3"/>
    <w:rsid w:val="1E3A48B1"/>
    <w:rsid w:val="1E451C37"/>
    <w:rsid w:val="1E5310C7"/>
    <w:rsid w:val="1E5558FC"/>
    <w:rsid w:val="1E5B61F8"/>
    <w:rsid w:val="1E621C8E"/>
    <w:rsid w:val="1E6F3F54"/>
    <w:rsid w:val="1E993340"/>
    <w:rsid w:val="1E9D2CA9"/>
    <w:rsid w:val="1EB23191"/>
    <w:rsid w:val="1EDA0C11"/>
    <w:rsid w:val="1EEC6612"/>
    <w:rsid w:val="1F011A6A"/>
    <w:rsid w:val="1F0B0800"/>
    <w:rsid w:val="1F3025BA"/>
    <w:rsid w:val="1F362DCD"/>
    <w:rsid w:val="1F371F44"/>
    <w:rsid w:val="1F3C0119"/>
    <w:rsid w:val="1F4D40E8"/>
    <w:rsid w:val="1F515AC7"/>
    <w:rsid w:val="1F5E41C7"/>
    <w:rsid w:val="1F63408D"/>
    <w:rsid w:val="1F665012"/>
    <w:rsid w:val="1F690195"/>
    <w:rsid w:val="1F6D30CE"/>
    <w:rsid w:val="1F707B20"/>
    <w:rsid w:val="1F721A21"/>
    <w:rsid w:val="1F90436C"/>
    <w:rsid w:val="1F910080"/>
    <w:rsid w:val="1F9B688A"/>
    <w:rsid w:val="1FBE20A6"/>
    <w:rsid w:val="1FC57184"/>
    <w:rsid w:val="1FC57D1D"/>
    <w:rsid w:val="20077EBC"/>
    <w:rsid w:val="20242025"/>
    <w:rsid w:val="202A5E57"/>
    <w:rsid w:val="20407429"/>
    <w:rsid w:val="20510A2A"/>
    <w:rsid w:val="20592BE1"/>
    <w:rsid w:val="207143EB"/>
    <w:rsid w:val="207812B9"/>
    <w:rsid w:val="20875058"/>
    <w:rsid w:val="20896A66"/>
    <w:rsid w:val="20907F89"/>
    <w:rsid w:val="20970C07"/>
    <w:rsid w:val="20A01F11"/>
    <w:rsid w:val="20BC55C4"/>
    <w:rsid w:val="20BE2A44"/>
    <w:rsid w:val="20CA501D"/>
    <w:rsid w:val="20CF0B9D"/>
    <w:rsid w:val="20E67BE0"/>
    <w:rsid w:val="210C1A01"/>
    <w:rsid w:val="211A411E"/>
    <w:rsid w:val="211D776A"/>
    <w:rsid w:val="211F0DDE"/>
    <w:rsid w:val="21384B83"/>
    <w:rsid w:val="213B5E42"/>
    <w:rsid w:val="213C5BD7"/>
    <w:rsid w:val="21572348"/>
    <w:rsid w:val="217414EF"/>
    <w:rsid w:val="21771B35"/>
    <w:rsid w:val="217A33F8"/>
    <w:rsid w:val="217B6E8F"/>
    <w:rsid w:val="218B6F16"/>
    <w:rsid w:val="21A400A0"/>
    <w:rsid w:val="21A97250"/>
    <w:rsid w:val="21AD074F"/>
    <w:rsid w:val="21B77BBF"/>
    <w:rsid w:val="21BE7D8E"/>
    <w:rsid w:val="21C84315"/>
    <w:rsid w:val="21E5239A"/>
    <w:rsid w:val="21E91AD6"/>
    <w:rsid w:val="21EA1D42"/>
    <w:rsid w:val="21F4092B"/>
    <w:rsid w:val="21F66939"/>
    <w:rsid w:val="21FB192E"/>
    <w:rsid w:val="21FD39D1"/>
    <w:rsid w:val="22016087"/>
    <w:rsid w:val="220172ED"/>
    <w:rsid w:val="2217240B"/>
    <w:rsid w:val="222D4521"/>
    <w:rsid w:val="22651ECE"/>
    <w:rsid w:val="22710E72"/>
    <w:rsid w:val="22801147"/>
    <w:rsid w:val="22873935"/>
    <w:rsid w:val="22931946"/>
    <w:rsid w:val="22C01AA7"/>
    <w:rsid w:val="22C6341A"/>
    <w:rsid w:val="22D56430"/>
    <w:rsid w:val="22F242F0"/>
    <w:rsid w:val="22F92970"/>
    <w:rsid w:val="22F95B0A"/>
    <w:rsid w:val="2302130E"/>
    <w:rsid w:val="231F3C6E"/>
    <w:rsid w:val="23306204"/>
    <w:rsid w:val="23475B35"/>
    <w:rsid w:val="234D0922"/>
    <w:rsid w:val="235C6C70"/>
    <w:rsid w:val="23603619"/>
    <w:rsid w:val="23614286"/>
    <w:rsid w:val="23623360"/>
    <w:rsid w:val="2375712B"/>
    <w:rsid w:val="2378337E"/>
    <w:rsid w:val="238F60D5"/>
    <w:rsid w:val="239A6276"/>
    <w:rsid w:val="239A6C76"/>
    <w:rsid w:val="239D70CC"/>
    <w:rsid w:val="239F5654"/>
    <w:rsid w:val="23BA4FAC"/>
    <w:rsid w:val="23CB16FF"/>
    <w:rsid w:val="23CD36CA"/>
    <w:rsid w:val="23E8649C"/>
    <w:rsid w:val="23F23130"/>
    <w:rsid w:val="23FA5A14"/>
    <w:rsid w:val="2410242D"/>
    <w:rsid w:val="2413693F"/>
    <w:rsid w:val="241412F8"/>
    <w:rsid w:val="242001D4"/>
    <w:rsid w:val="244377C9"/>
    <w:rsid w:val="24746E9C"/>
    <w:rsid w:val="2477734D"/>
    <w:rsid w:val="247962E4"/>
    <w:rsid w:val="24865DB9"/>
    <w:rsid w:val="24A16B4E"/>
    <w:rsid w:val="24A51F50"/>
    <w:rsid w:val="24EE6FC3"/>
    <w:rsid w:val="24F55EFC"/>
    <w:rsid w:val="250F2123"/>
    <w:rsid w:val="25144845"/>
    <w:rsid w:val="25145328"/>
    <w:rsid w:val="252F258F"/>
    <w:rsid w:val="253A38C1"/>
    <w:rsid w:val="255D282B"/>
    <w:rsid w:val="256911D0"/>
    <w:rsid w:val="25787665"/>
    <w:rsid w:val="25812C6B"/>
    <w:rsid w:val="25826536"/>
    <w:rsid w:val="2589043C"/>
    <w:rsid w:val="25967750"/>
    <w:rsid w:val="25A76CA1"/>
    <w:rsid w:val="25DB557C"/>
    <w:rsid w:val="25E60A39"/>
    <w:rsid w:val="260470EF"/>
    <w:rsid w:val="260B2287"/>
    <w:rsid w:val="260B672B"/>
    <w:rsid w:val="26141908"/>
    <w:rsid w:val="261750D0"/>
    <w:rsid w:val="26222264"/>
    <w:rsid w:val="262B152D"/>
    <w:rsid w:val="26444656"/>
    <w:rsid w:val="26586EEB"/>
    <w:rsid w:val="26713510"/>
    <w:rsid w:val="267E5CB6"/>
    <w:rsid w:val="268C4A4A"/>
    <w:rsid w:val="268D2DA0"/>
    <w:rsid w:val="268E37D0"/>
    <w:rsid w:val="269648BF"/>
    <w:rsid w:val="26977AEE"/>
    <w:rsid w:val="26A24A66"/>
    <w:rsid w:val="26A71C58"/>
    <w:rsid w:val="26CC0ECA"/>
    <w:rsid w:val="26D332DC"/>
    <w:rsid w:val="26D66D39"/>
    <w:rsid w:val="26D903CC"/>
    <w:rsid w:val="26F9507E"/>
    <w:rsid w:val="26FC48F3"/>
    <w:rsid w:val="270F5BCF"/>
    <w:rsid w:val="271201A6"/>
    <w:rsid w:val="271247FB"/>
    <w:rsid w:val="271779BC"/>
    <w:rsid w:val="272623F8"/>
    <w:rsid w:val="27313F6F"/>
    <w:rsid w:val="273535B1"/>
    <w:rsid w:val="273A716C"/>
    <w:rsid w:val="2779507C"/>
    <w:rsid w:val="277E2C49"/>
    <w:rsid w:val="27924C4A"/>
    <w:rsid w:val="279B048A"/>
    <w:rsid w:val="279C2917"/>
    <w:rsid w:val="279F519A"/>
    <w:rsid w:val="27AA5AD0"/>
    <w:rsid w:val="27B01338"/>
    <w:rsid w:val="27C22649"/>
    <w:rsid w:val="27C35DCC"/>
    <w:rsid w:val="27C923FA"/>
    <w:rsid w:val="27D50D9F"/>
    <w:rsid w:val="27DD30F2"/>
    <w:rsid w:val="27F42830"/>
    <w:rsid w:val="280129BA"/>
    <w:rsid w:val="28154197"/>
    <w:rsid w:val="281D0F9C"/>
    <w:rsid w:val="28275AF0"/>
    <w:rsid w:val="283420B1"/>
    <w:rsid w:val="28412892"/>
    <w:rsid w:val="28637626"/>
    <w:rsid w:val="28790E94"/>
    <w:rsid w:val="287C56BE"/>
    <w:rsid w:val="288A0B49"/>
    <w:rsid w:val="28B135BA"/>
    <w:rsid w:val="28CD286D"/>
    <w:rsid w:val="28DC6CF4"/>
    <w:rsid w:val="28E726AB"/>
    <w:rsid w:val="28F2772E"/>
    <w:rsid w:val="28FE60C3"/>
    <w:rsid w:val="29086F52"/>
    <w:rsid w:val="291021EA"/>
    <w:rsid w:val="291104DB"/>
    <w:rsid w:val="292879A6"/>
    <w:rsid w:val="295108F9"/>
    <w:rsid w:val="29594243"/>
    <w:rsid w:val="295E607F"/>
    <w:rsid w:val="296A19BB"/>
    <w:rsid w:val="2973118A"/>
    <w:rsid w:val="298567F4"/>
    <w:rsid w:val="2987256D"/>
    <w:rsid w:val="29894181"/>
    <w:rsid w:val="298F4F7D"/>
    <w:rsid w:val="29C7365C"/>
    <w:rsid w:val="29C966E1"/>
    <w:rsid w:val="29D55086"/>
    <w:rsid w:val="29F12B5D"/>
    <w:rsid w:val="29F36060"/>
    <w:rsid w:val="29F70D19"/>
    <w:rsid w:val="2A026DDA"/>
    <w:rsid w:val="2A0C569A"/>
    <w:rsid w:val="2A134397"/>
    <w:rsid w:val="2A204A91"/>
    <w:rsid w:val="2A2403B3"/>
    <w:rsid w:val="2A2542B1"/>
    <w:rsid w:val="2A2803A2"/>
    <w:rsid w:val="2A505ABB"/>
    <w:rsid w:val="2A5C7555"/>
    <w:rsid w:val="2A71013E"/>
    <w:rsid w:val="2A7F0300"/>
    <w:rsid w:val="2A7F518B"/>
    <w:rsid w:val="2A916E63"/>
    <w:rsid w:val="2AA932E7"/>
    <w:rsid w:val="2AAE7F81"/>
    <w:rsid w:val="2ABA24CE"/>
    <w:rsid w:val="2AD92954"/>
    <w:rsid w:val="2ADA2ADB"/>
    <w:rsid w:val="2ADB2B70"/>
    <w:rsid w:val="2ADC2444"/>
    <w:rsid w:val="2AEB07F7"/>
    <w:rsid w:val="2AEF03C9"/>
    <w:rsid w:val="2AF21C68"/>
    <w:rsid w:val="2B0F45B6"/>
    <w:rsid w:val="2B1402D6"/>
    <w:rsid w:val="2B1E480B"/>
    <w:rsid w:val="2B262EC6"/>
    <w:rsid w:val="2B4746D6"/>
    <w:rsid w:val="2B490A56"/>
    <w:rsid w:val="2B510E7D"/>
    <w:rsid w:val="2B5D7D13"/>
    <w:rsid w:val="2B675BC2"/>
    <w:rsid w:val="2B886323"/>
    <w:rsid w:val="2B9151BF"/>
    <w:rsid w:val="2BAC273D"/>
    <w:rsid w:val="2BAC62BA"/>
    <w:rsid w:val="2BBD5E0C"/>
    <w:rsid w:val="2BC8409A"/>
    <w:rsid w:val="2BCE6231"/>
    <w:rsid w:val="2BE27A8A"/>
    <w:rsid w:val="2BEE0864"/>
    <w:rsid w:val="2BF46AAA"/>
    <w:rsid w:val="2BFD1FF6"/>
    <w:rsid w:val="2BFF463C"/>
    <w:rsid w:val="2C2240F7"/>
    <w:rsid w:val="2C287A84"/>
    <w:rsid w:val="2C336309"/>
    <w:rsid w:val="2C401DFA"/>
    <w:rsid w:val="2C7063B4"/>
    <w:rsid w:val="2C734DFA"/>
    <w:rsid w:val="2C840854"/>
    <w:rsid w:val="2C8A4A20"/>
    <w:rsid w:val="2C92742C"/>
    <w:rsid w:val="2CA71DD1"/>
    <w:rsid w:val="2CA90A4C"/>
    <w:rsid w:val="2CAB0320"/>
    <w:rsid w:val="2CB43665"/>
    <w:rsid w:val="2CDA39A0"/>
    <w:rsid w:val="2CDD2F33"/>
    <w:rsid w:val="2CF369CD"/>
    <w:rsid w:val="2CFC6329"/>
    <w:rsid w:val="2CFE66A2"/>
    <w:rsid w:val="2CFF0262"/>
    <w:rsid w:val="2D261C60"/>
    <w:rsid w:val="2D2910A6"/>
    <w:rsid w:val="2D4228B3"/>
    <w:rsid w:val="2D5766F2"/>
    <w:rsid w:val="2D5C51D7"/>
    <w:rsid w:val="2D634703"/>
    <w:rsid w:val="2D664D43"/>
    <w:rsid w:val="2D78607F"/>
    <w:rsid w:val="2D8F379E"/>
    <w:rsid w:val="2DAB617C"/>
    <w:rsid w:val="2DAF2B71"/>
    <w:rsid w:val="2DBB0A37"/>
    <w:rsid w:val="2DBF0527"/>
    <w:rsid w:val="2E3B4E0B"/>
    <w:rsid w:val="2E4E527B"/>
    <w:rsid w:val="2E623499"/>
    <w:rsid w:val="2E6764C9"/>
    <w:rsid w:val="2E7528AB"/>
    <w:rsid w:val="2E8F6794"/>
    <w:rsid w:val="2E996208"/>
    <w:rsid w:val="2E9A4714"/>
    <w:rsid w:val="2EA7199A"/>
    <w:rsid w:val="2EAF13CF"/>
    <w:rsid w:val="2EB37960"/>
    <w:rsid w:val="2EB775B3"/>
    <w:rsid w:val="2EC02CA1"/>
    <w:rsid w:val="2EC333C5"/>
    <w:rsid w:val="2EC61441"/>
    <w:rsid w:val="2EDF2CF6"/>
    <w:rsid w:val="2EE23C7A"/>
    <w:rsid w:val="2EE8112F"/>
    <w:rsid w:val="2EF43B94"/>
    <w:rsid w:val="2F025BDF"/>
    <w:rsid w:val="2F06464D"/>
    <w:rsid w:val="2F0A5D38"/>
    <w:rsid w:val="2F171749"/>
    <w:rsid w:val="2F2F348A"/>
    <w:rsid w:val="2F3E2D0F"/>
    <w:rsid w:val="2F5A7DDB"/>
    <w:rsid w:val="2F666935"/>
    <w:rsid w:val="2F6915D5"/>
    <w:rsid w:val="2F6D7FDB"/>
    <w:rsid w:val="2F752008"/>
    <w:rsid w:val="2F8B2EB9"/>
    <w:rsid w:val="2F933A9E"/>
    <w:rsid w:val="2F994DA8"/>
    <w:rsid w:val="2FAA7CA3"/>
    <w:rsid w:val="2FAF1ED5"/>
    <w:rsid w:val="2FB248C3"/>
    <w:rsid w:val="2FB36551"/>
    <w:rsid w:val="2FBC2844"/>
    <w:rsid w:val="2FD84CAE"/>
    <w:rsid w:val="300140D2"/>
    <w:rsid w:val="300727D8"/>
    <w:rsid w:val="301104EC"/>
    <w:rsid w:val="301949EE"/>
    <w:rsid w:val="301B57BD"/>
    <w:rsid w:val="302C79CA"/>
    <w:rsid w:val="30360848"/>
    <w:rsid w:val="304E185D"/>
    <w:rsid w:val="30601421"/>
    <w:rsid w:val="30866529"/>
    <w:rsid w:val="30960D42"/>
    <w:rsid w:val="30A203D8"/>
    <w:rsid w:val="30A25EDE"/>
    <w:rsid w:val="30B27249"/>
    <w:rsid w:val="30CF42B4"/>
    <w:rsid w:val="30E107B4"/>
    <w:rsid w:val="30E51140"/>
    <w:rsid w:val="30F80DE7"/>
    <w:rsid w:val="30F85C3B"/>
    <w:rsid w:val="30F96868"/>
    <w:rsid w:val="30FD0AD3"/>
    <w:rsid w:val="30FD526E"/>
    <w:rsid w:val="31005231"/>
    <w:rsid w:val="310C0E96"/>
    <w:rsid w:val="31173CF5"/>
    <w:rsid w:val="31283645"/>
    <w:rsid w:val="312A215B"/>
    <w:rsid w:val="313409B9"/>
    <w:rsid w:val="314E2C27"/>
    <w:rsid w:val="316030CA"/>
    <w:rsid w:val="31675F59"/>
    <w:rsid w:val="316D029A"/>
    <w:rsid w:val="316F26AD"/>
    <w:rsid w:val="317433D6"/>
    <w:rsid w:val="31754028"/>
    <w:rsid w:val="317C036E"/>
    <w:rsid w:val="317C6207"/>
    <w:rsid w:val="31A23020"/>
    <w:rsid w:val="31A2473F"/>
    <w:rsid w:val="31A3127F"/>
    <w:rsid w:val="31AD4B3A"/>
    <w:rsid w:val="31AF2249"/>
    <w:rsid w:val="31C72739"/>
    <w:rsid w:val="31D40319"/>
    <w:rsid w:val="31D6014C"/>
    <w:rsid w:val="31D64821"/>
    <w:rsid w:val="31D64EC5"/>
    <w:rsid w:val="31E146E7"/>
    <w:rsid w:val="31EB1674"/>
    <w:rsid w:val="31EF0CAF"/>
    <w:rsid w:val="31FC04FB"/>
    <w:rsid w:val="320A71A6"/>
    <w:rsid w:val="321B7C44"/>
    <w:rsid w:val="32317ABF"/>
    <w:rsid w:val="32353291"/>
    <w:rsid w:val="325D18AF"/>
    <w:rsid w:val="32671504"/>
    <w:rsid w:val="32697CF5"/>
    <w:rsid w:val="327D450D"/>
    <w:rsid w:val="32885138"/>
    <w:rsid w:val="328C597A"/>
    <w:rsid w:val="32902D8F"/>
    <w:rsid w:val="32974381"/>
    <w:rsid w:val="329F2634"/>
    <w:rsid w:val="32A92D2C"/>
    <w:rsid w:val="32C4309F"/>
    <w:rsid w:val="32DB0F7C"/>
    <w:rsid w:val="32EB1216"/>
    <w:rsid w:val="331C3A9A"/>
    <w:rsid w:val="332B5D17"/>
    <w:rsid w:val="33361C3D"/>
    <w:rsid w:val="33384CA1"/>
    <w:rsid w:val="33583DC9"/>
    <w:rsid w:val="335D1CC5"/>
    <w:rsid w:val="336E5F6C"/>
    <w:rsid w:val="337D5EB4"/>
    <w:rsid w:val="337D6587"/>
    <w:rsid w:val="339139D3"/>
    <w:rsid w:val="339562DA"/>
    <w:rsid w:val="33AD7911"/>
    <w:rsid w:val="33C5697B"/>
    <w:rsid w:val="33D56AE0"/>
    <w:rsid w:val="33E800AC"/>
    <w:rsid w:val="33EA422B"/>
    <w:rsid w:val="340E0074"/>
    <w:rsid w:val="34121EC5"/>
    <w:rsid w:val="341449FD"/>
    <w:rsid w:val="3416543E"/>
    <w:rsid w:val="342F3BA3"/>
    <w:rsid w:val="343D21A6"/>
    <w:rsid w:val="34592D57"/>
    <w:rsid w:val="345B5F75"/>
    <w:rsid w:val="34651F7F"/>
    <w:rsid w:val="34802290"/>
    <w:rsid w:val="34866A39"/>
    <w:rsid w:val="34907B91"/>
    <w:rsid w:val="349C08CC"/>
    <w:rsid w:val="34A164A9"/>
    <w:rsid w:val="34A22009"/>
    <w:rsid w:val="34E5114A"/>
    <w:rsid w:val="34EB58BD"/>
    <w:rsid w:val="34EB675E"/>
    <w:rsid w:val="34FF56AD"/>
    <w:rsid w:val="351A72AD"/>
    <w:rsid w:val="352300E7"/>
    <w:rsid w:val="35430471"/>
    <w:rsid w:val="354444AC"/>
    <w:rsid w:val="3548237A"/>
    <w:rsid w:val="354B32FF"/>
    <w:rsid w:val="354E0A01"/>
    <w:rsid w:val="35583855"/>
    <w:rsid w:val="355F7EFA"/>
    <w:rsid w:val="357D01F7"/>
    <w:rsid w:val="35824F96"/>
    <w:rsid w:val="35840EDB"/>
    <w:rsid w:val="35880403"/>
    <w:rsid w:val="35A04F88"/>
    <w:rsid w:val="35AE3564"/>
    <w:rsid w:val="35C366DA"/>
    <w:rsid w:val="35C57746"/>
    <w:rsid w:val="35C651C7"/>
    <w:rsid w:val="35CC5FB4"/>
    <w:rsid w:val="35CF2253"/>
    <w:rsid w:val="35D850E1"/>
    <w:rsid w:val="35F9034E"/>
    <w:rsid w:val="361F1786"/>
    <w:rsid w:val="36252EF1"/>
    <w:rsid w:val="36277163"/>
    <w:rsid w:val="363A3E94"/>
    <w:rsid w:val="36541F37"/>
    <w:rsid w:val="366C3230"/>
    <w:rsid w:val="36844301"/>
    <w:rsid w:val="368A1C5C"/>
    <w:rsid w:val="369E4A52"/>
    <w:rsid w:val="36A15E2F"/>
    <w:rsid w:val="36D6705D"/>
    <w:rsid w:val="36D95F89"/>
    <w:rsid w:val="36EF34FF"/>
    <w:rsid w:val="36F626F5"/>
    <w:rsid w:val="36FC3148"/>
    <w:rsid w:val="37005384"/>
    <w:rsid w:val="370451FC"/>
    <w:rsid w:val="3707541C"/>
    <w:rsid w:val="371857CA"/>
    <w:rsid w:val="371F40D7"/>
    <w:rsid w:val="372B6274"/>
    <w:rsid w:val="37607F59"/>
    <w:rsid w:val="378E0F6A"/>
    <w:rsid w:val="379231B9"/>
    <w:rsid w:val="379A126C"/>
    <w:rsid w:val="379D4F08"/>
    <w:rsid w:val="379D5206"/>
    <w:rsid w:val="37AD59D0"/>
    <w:rsid w:val="37C50972"/>
    <w:rsid w:val="37CD7E24"/>
    <w:rsid w:val="37DF3574"/>
    <w:rsid w:val="37E167BB"/>
    <w:rsid w:val="37FA5167"/>
    <w:rsid w:val="38066D52"/>
    <w:rsid w:val="380A0E63"/>
    <w:rsid w:val="38163139"/>
    <w:rsid w:val="381B1E18"/>
    <w:rsid w:val="38332099"/>
    <w:rsid w:val="38402264"/>
    <w:rsid w:val="384F06F9"/>
    <w:rsid w:val="385E26EA"/>
    <w:rsid w:val="38636ACA"/>
    <w:rsid w:val="38730223"/>
    <w:rsid w:val="38912AC0"/>
    <w:rsid w:val="38C84008"/>
    <w:rsid w:val="38CF183A"/>
    <w:rsid w:val="39006C13"/>
    <w:rsid w:val="391B05DB"/>
    <w:rsid w:val="391E61C3"/>
    <w:rsid w:val="392A5859"/>
    <w:rsid w:val="394538AA"/>
    <w:rsid w:val="39456083"/>
    <w:rsid w:val="395B6028"/>
    <w:rsid w:val="39627BB1"/>
    <w:rsid w:val="39691347"/>
    <w:rsid w:val="396E5985"/>
    <w:rsid w:val="397F3DCC"/>
    <w:rsid w:val="397F500E"/>
    <w:rsid w:val="39806B4E"/>
    <w:rsid w:val="39820A82"/>
    <w:rsid w:val="39934616"/>
    <w:rsid w:val="399E325D"/>
    <w:rsid w:val="399F0A89"/>
    <w:rsid w:val="39AA790D"/>
    <w:rsid w:val="39AC4E68"/>
    <w:rsid w:val="39C649EB"/>
    <w:rsid w:val="39D114EA"/>
    <w:rsid w:val="39D4246E"/>
    <w:rsid w:val="39E14020"/>
    <w:rsid w:val="39E9692C"/>
    <w:rsid w:val="3A124BCC"/>
    <w:rsid w:val="3A1741DD"/>
    <w:rsid w:val="3A1976E0"/>
    <w:rsid w:val="3A1E4827"/>
    <w:rsid w:val="3A1F40FB"/>
    <w:rsid w:val="3A255BB6"/>
    <w:rsid w:val="3A944AE9"/>
    <w:rsid w:val="3A9A1B01"/>
    <w:rsid w:val="3AC059F9"/>
    <w:rsid w:val="3AD76784"/>
    <w:rsid w:val="3AE04600"/>
    <w:rsid w:val="3AEE643E"/>
    <w:rsid w:val="3B003F2D"/>
    <w:rsid w:val="3B0F23C2"/>
    <w:rsid w:val="3B1479D8"/>
    <w:rsid w:val="3B344138"/>
    <w:rsid w:val="3B3B31B7"/>
    <w:rsid w:val="3B3F720A"/>
    <w:rsid w:val="3B5B1163"/>
    <w:rsid w:val="3B6E698C"/>
    <w:rsid w:val="3B9C7DED"/>
    <w:rsid w:val="3BA26D92"/>
    <w:rsid w:val="3BA62150"/>
    <w:rsid w:val="3BAC7AF6"/>
    <w:rsid w:val="3BB05953"/>
    <w:rsid w:val="3BB33BFE"/>
    <w:rsid w:val="3BC05FBB"/>
    <w:rsid w:val="3BC44F5A"/>
    <w:rsid w:val="3BD07F9E"/>
    <w:rsid w:val="3BDE5D47"/>
    <w:rsid w:val="3BEC3774"/>
    <w:rsid w:val="3BF369DE"/>
    <w:rsid w:val="3BFD5C1E"/>
    <w:rsid w:val="3BFF5BFB"/>
    <w:rsid w:val="3C136F60"/>
    <w:rsid w:val="3C317D4F"/>
    <w:rsid w:val="3C662E76"/>
    <w:rsid w:val="3C6B206F"/>
    <w:rsid w:val="3C751E2D"/>
    <w:rsid w:val="3C9167E0"/>
    <w:rsid w:val="3CA442DF"/>
    <w:rsid w:val="3CB66F99"/>
    <w:rsid w:val="3CDE0EAF"/>
    <w:rsid w:val="3CF05F53"/>
    <w:rsid w:val="3D1D5F62"/>
    <w:rsid w:val="3D1D63A7"/>
    <w:rsid w:val="3D233718"/>
    <w:rsid w:val="3D395934"/>
    <w:rsid w:val="3D515BBF"/>
    <w:rsid w:val="3D5278E3"/>
    <w:rsid w:val="3D6C3AFB"/>
    <w:rsid w:val="3D72615D"/>
    <w:rsid w:val="3D827BF5"/>
    <w:rsid w:val="3D8449A1"/>
    <w:rsid w:val="3D87623F"/>
    <w:rsid w:val="3D8B431A"/>
    <w:rsid w:val="3D9A1F85"/>
    <w:rsid w:val="3DA037A5"/>
    <w:rsid w:val="3DA46DF1"/>
    <w:rsid w:val="3DB520C9"/>
    <w:rsid w:val="3DCD0318"/>
    <w:rsid w:val="3DD2267A"/>
    <w:rsid w:val="3DD55670"/>
    <w:rsid w:val="3DE2791A"/>
    <w:rsid w:val="3DE7087F"/>
    <w:rsid w:val="3E1F757A"/>
    <w:rsid w:val="3E3F09CE"/>
    <w:rsid w:val="3E4238B7"/>
    <w:rsid w:val="3E4B54BF"/>
    <w:rsid w:val="3E52548F"/>
    <w:rsid w:val="3E75253C"/>
    <w:rsid w:val="3E7A2248"/>
    <w:rsid w:val="3E8F30B2"/>
    <w:rsid w:val="3E92640E"/>
    <w:rsid w:val="3E9D4E36"/>
    <w:rsid w:val="3EB3456B"/>
    <w:rsid w:val="3EB66257"/>
    <w:rsid w:val="3EC6578A"/>
    <w:rsid w:val="3ED45DA4"/>
    <w:rsid w:val="3EEA1576"/>
    <w:rsid w:val="3F072E26"/>
    <w:rsid w:val="3F1735F3"/>
    <w:rsid w:val="3F244EC9"/>
    <w:rsid w:val="3F402B4A"/>
    <w:rsid w:val="3F63308A"/>
    <w:rsid w:val="3F6E221E"/>
    <w:rsid w:val="3F7F61DF"/>
    <w:rsid w:val="3F89361E"/>
    <w:rsid w:val="3F9410E8"/>
    <w:rsid w:val="3F9B4C8D"/>
    <w:rsid w:val="3FA376F7"/>
    <w:rsid w:val="3FAC6431"/>
    <w:rsid w:val="3FAD1496"/>
    <w:rsid w:val="3FBF6165"/>
    <w:rsid w:val="3FCA5958"/>
    <w:rsid w:val="3FE15E75"/>
    <w:rsid w:val="3FE442A7"/>
    <w:rsid w:val="3FE756BB"/>
    <w:rsid w:val="3FFB3608"/>
    <w:rsid w:val="4007741B"/>
    <w:rsid w:val="401044A7"/>
    <w:rsid w:val="40185875"/>
    <w:rsid w:val="401E017D"/>
    <w:rsid w:val="402D1859"/>
    <w:rsid w:val="40505A2D"/>
    <w:rsid w:val="405A1423"/>
    <w:rsid w:val="405D42B8"/>
    <w:rsid w:val="407231D7"/>
    <w:rsid w:val="407A60D5"/>
    <w:rsid w:val="40915CFA"/>
    <w:rsid w:val="40973D0D"/>
    <w:rsid w:val="40AC51FF"/>
    <w:rsid w:val="40B029AF"/>
    <w:rsid w:val="40B37534"/>
    <w:rsid w:val="40B75214"/>
    <w:rsid w:val="40B830C1"/>
    <w:rsid w:val="40CC4BF7"/>
    <w:rsid w:val="40D51770"/>
    <w:rsid w:val="40DD0378"/>
    <w:rsid w:val="40E1210B"/>
    <w:rsid w:val="40F53AEE"/>
    <w:rsid w:val="40F97454"/>
    <w:rsid w:val="410C75D6"/>
    <w:rsid w:val="411249BA"/>
    <w:rsid w:val="41140916"/>
    <w:rsid w:val="41144439"/>
    <w:rsid w:val="411E510F"/>
    <w:rsid w:val="412805BB"/>
    <w:rsid w:val="41485829"/>
    <w:rsid w:val="41666FD7"/>
    <w:rsid w:val="41754517"/>
    <w:rsid w:val="4182744A"/>
    <w:rsid w:val="4185310F"/>
    <w:rsid w:val="419724D4"/>
    <w:rsid w:val="41BE244C"/>
    <w:rsid w:val="41CA7043"/>
    <w:rsid w:val="41D100B9"/>
    <w:rsid w:val="41D8350E"/>
    <w:rsid w:val="41DC1814"/>
    <w:rsid w:val="41F216BC"/>
    <w:rsid w:val="4204365E"/>
    <w:rsid w:val="420E64EB"/>
    <w:rsid w:val="4214123F"/>
    <w:rsid w:val="421E75F3"/>
    <w:rsid w:val="422C131F"/>
    <w:rsid w:val="423050F8"/>
    <w:rsid w:val="423170C2"/>
    <w:rsid w:val="42397034"/>
    <w:rsid w:val="42440BA3"/>
    <w:rsid w:val="42705CC0"/>
    <w:rsid w:val="42872932"/>
    <w:rsid w:val="428A3D33"/>
    <w:rsid w:val="428B4A24"/>
    <w:rsid w:val="4290203A"/>
    <w:rsid w:val="42910920"/>
    <w:rsid w:val="429D007B"/>
    <w:rsid w:val="42CE6929"/>
    <w:rsid w:val="42D33CD5"/>
    <w:rsid w:val="43036368"/>
    <w:rsid w:val="431C43A5"/>
    <w:rsid w:val="431E31A2"/>
    <w:rsid w:val="431F7F95"/>
    <w:rsid w:val="43254DBA"/>
    <w:rsid w:val="43302C82"/>
    <w:rsid w:val="43351583"/>
    <w:rsid w:val="43395FD9"/>
    <w:rsid w:val="434A3F97"/>
    <w:rsid w:val="434B5F61"/>
    <w:rsid w:val="434D7F2B"/>
    <w:rsid w:val="434E48F9"/>
    <w:rsid w:val="437544CD"/>
    <w:rsid w:val="438501B2"/>
    <w:rsid w:val="43873B5A"/>
    <w:rsid w:val="43A13550"/>
    <w:rsid w:val="43AE0AED"/>
    <w:rsid w:val="43B260B8"/>
    <w:rsid w:val="43CE7E9D"/>
    <w:rsid w:val="43D922DF"/>
    <w:rsid w:val="43DB04EB"/>
    <w:rsid w:val="43DB3FAF"/>
    <w:rsid w:val="43F53D88"/>
    <w:rsid w:val="44054428"/>
    <w:rsid w:val="440B425E"/>
    <w:rsid w:val="44336526"/>
    <w:rsid w:val="449C2EB3"/>
    <w:rsid w:val="44AD6ED3"/>
    <w:rsid w:val="44AF103D"/>
    <w:rsid w:val="44D21876"/>
    <w:rsid w:val="44DA7903"/>
    <w:rsid w:val="44E76C85"/>
    <w:rsid w:val="44EA3560"/>
    <w:rsid w:val="450F53C4"/>
    <w:rsid w:val="45153A1F"/>
    <w:rsid w:val="451A208F"/>
    <w:rsid w:val="45203E78"/>
    <w:rsid w:val="45252301"/>
    <w:rsid w:val="452B420A"/>
    <w:rsid w:val="4540092C"/>
    <w:rsid w:val="45467528"/>
    <w:rsid w:val="454864B0"/>
    <w:rsid w:val="454F1D39"/>
    <w:rsid w:val="455B692F"/>
    <w:rsid w:val="45746617"/>
    <w:rsid w:val="45793729"/>
    <w:rsid w:val="45974C6D"/>
    <w:rsid w:val="45A81449"/>
    <w:rsid w:val="45BC6CA2"/>
    <w:rsid w:val="45BE1328"/>
    <w:rsid w:val="45ED672C"/>
    <w:rsid w:val="45FA69EE"/>
    <w:rsid w:val="45FE1FE4"/>
    <w:rsid w:val="46054AED"/>
    <w:rsid w:val="460E280F"/>
    <w:rsid w:val="4617510C"/>
    <w:rsid w:val="461D3BE5"/>
    <w:rsid w:val="46260E9F"/>
    <w:rsid w:val="46271B24"/>
    <w:rsid w:val="462767CE"/>
    <w:rsid w:val="46464590"/>
    <w:rsid w:val="464F0AEA"/>
    <w:rsid w:val="4651247F"/>
    <w:rsid w:val="466850F2"/>
    <w:rsid w:val="46927EFF"/>
    <w:rsid w:val="46A165C4"/>
    <w:rsid w:val="46A32772"/>
    <w:rsid w:val="46C027C2"/>
    <w:rsid w:val="46C66CEF"/>
    <w:rsid w:val="46DE494D"/>
    <w:rsid w:val="46E46DDB"/>
    <w:rsid w:val="46F81F5C"/>
    <w:rsid w:val="47293CD0"/>
    <w:rsid w:val="472A6618"/>
    <w:rsid w:val="472D0BDD"/>
    <w:rsid w:val="47310001"/>
    <w:rsid w:val="476D6A52"/>
    <w:rsid w:val="477159E0"/>
    <w:rsid w:val="4776054C"/>
    <w:rsid w:val="4776475B"/>
    <w:rsid w:val="4779151D"/>
    <w:rsid w:val="477E06B3"/>
    <w:rsid w:val="47834F51"/>
    <w:rsid w:val="478B2A70"/>
    <w:rsid w:val="479972EB"/>
    <w:rsid w:val="47A65F99"/>
    <w:rsid w:val="47AF6127"/>
    <w:rsid w:val="47B73BC5"/>
    <w:rsid w:val="47BC567F"/>
    <w:rsid w:val="47C94BC8"/>
    <w:rsid w:val="47D408E5"/>
    <w:rsid w:val="47F3119A"/>
    <w:rsid w:val="47F93301"/>
    <w:rsid w:val="48040BAD"/>
    <w:rsid w:val="48194880"/>
    <w:rsid w:val="482A12F4"/>
    <w:rsid w:val="48517B76"/>
    <w:rsid w:val="48562D80"/>
    <w:rsid w:val="487335D5"/>
    <w:rsid w:val="48760998"/>
    <w:rsid w:val="48786E75"/>
    <w:rsid w:val="4880045B"/>
    <w:rsid w:val="488054E7"/>
    <w:rsid w:val="488A79AF"/>
    <w:rsid w:val="48A56114"/>
    <w:rsid w:val="48A979B2"/>
    <w:rsid w:val="48AA50C6"/>
    <w:rsid w:val="48D81343"/>
    <w:rsid w:val="48DE0700"/>
    <w:rsid w:val="48F254BA"/>
    <w:rsid w:val="48F74BC1"/>
    <w:rsid w:val="48FE4B50"/>
    <w:rsid w:val="49275D14"/>
    <w:rsid w:val="492846DE"/>
    <w:rsid w:val="492E23F1"/>
    <w:rsid w:val="4932206E"/>
    <w:rsid w:val="495A6163"/>
    <w:rsid w:val="49652CD0"/>
    <w:rsid w:val="496C0725"/>
    <w:rsid w:val="49901EC0"/>
    <w:rsid w:val="499C12C5"/>
    <w:rsid w:val="49A87567"/>
    <w:rsid w:val="49AE67BA"/>
    <w:rsid w:val="49B06B1E"/>
    <w:rsid w:val="49D224BF"/>
    <w:rsid w:val="49FB423D"/>
    <w:rsid w:val="4A084BAC"/>
    <w:rsid w:val="4A0D4D0D"/>
    <w:rsid w:val="4A1B28BA"/>
    <w:rsid w:val="4A2A0BCD"/>
    <w:rsid w:val="4A36793C"/>
    <w:rsid w:val="4A5B700A"/>
    <w:rsid w:val="4A641E98"/>
    <w:rsid w:val="4A6766A0"/>
    <w:rsid w:val="4A6D6AAB"/>
    <w:rsid w:val="4A7668AA"/>
    <w:rsid w:val="4A7730B7"/>
    <w:rsid w:val="4A8C4F62"/>
    <w:rsid w:val="4A8E3680"/>
    <w:rsid w:val="4A9B03AD"/>
    <w:rsid w:val="4AA0365E"/>
    <w:rsid w:val="4AA8258C"/>
    <w:rsid w:val="4ABA06A9"/>
    <w:rsid w:val="4AD66A58"/>
    <w:rsid w:val="4AE1490A"/>
    <w:rsid w:val="4AF45DC4"/>
    <w:rsid w:val="4B03651F"/>
    <w:rsid w:val="4B26353C"/>
    <w:rsid w:val="4B39541F"/>
    <w:rsid w:val="4B3A1C3C"/>
    <w:rsid w:val="4B5633BD"/>
    <w:rsid w:val="4B737AD7"/>
    <w:rsid w:val="4B7C7600"/>
    <w:rsid w:val="4B8171CC"/>
    <w:rsid w:val="4B973AEA"/>
    <w:rsid w:val="4BC74E87"/>
    <w:rsid w:val="4BD17C96"/>
    <w:rsid w:val="4BE551A5"/>
    <w:rsid w:val="4BE64A79"/>
    <w:rsid w:val="4BE9413D"/>
    <w:rsid w:val="4C0E2493"/>
    <w:rsid w:val="4C1F06FA"/>
    <w:rsid w:val="4C215AB1"/>
    <w:rsid w:val="4C515F9F"/>
    <w:rsid w:val="4C5A6005"/>
    <w:rsid w:val="4C5B5467"/>
    <w:rsid w:val="4C8704A8"/>
    <w:rsid w:val="4C980C50"/>
    <w:rsid w:val="4CA67A58"/>
    <w:rsid w:val="4CCF357B"/>
    <w:rsid w:val="4CE679B9"/>
    <w:rsid w:val="4CE7444F"/>
    <w:rsid w:val="4CEA0599"/>
    <w:rsid w:val="4CF85A25"/>
    <w:rsid w:val="4D000563"/>
    <w:rsid w:val="4D2E3F3F"/>
    <w:rsid w:val="4D3F6FBF"/>
    <w:rsid w:val="4D4B7786"/>
    <w:rsid w:val="4D706CF0"/>
    <w:rsid w:val="4D83739D"/>
    <w:rsid w:val="4D857E91"/>
    <w:rsid w:val="4D8E48DB"/>
    <w:rsid w:val="4D9A1FBF"/>
    <w:rsid w:val="4DA16ADE"/>
    <w:rsid w:val="4DB3336D"/>
    <w:rsid w:val="4DBD4199"/>
    <w:rsid w:val="4DBE6397"/>
    <w:rsid w:val="4DD3727F"/>
    <w:rsid w:val="4DDD6C4C"/>
    <w:rsid w:val="4DE8619F"/>
    <w:rsid w:val="4DF51062"/>
    <w:rsid w:val="4E015F16"/>
    <w:rsid w:val="4E194024"/>
    <w:rsid w:val="4E362286"/>
    <w:rsid w:val="4E3A32D0"/>
    <w:rsid w:val="4E437F61"/>
    <w:rsid w:val="4E555CA6"/>
    <w:rsid w:val="4E860383"/>
    <w:rsid w:val="4E880069"/>
    <w:rsid w:val="4E8D5680"/>
    <w:rsid w:val="4EB47AF9"/>
    <w:rsid w:val="4EB600E0"/>
    <w:rsid w:val="4EBA11CB"/>
    <w:rsid w:val="4EBA3B62"/>
    <w:rsid w:val="4EBC78D4"/>
    <w:rsid w:val="4ECA68D4"/>
    <w:rsid w:val="4ED41763"/>
    <w:rsid w:val="4EDB7C89"/>
    <w:rsid w:val="4EE306F8"/>
    <w:rsid w:val="4EE82601"/>
    <w:rsid w:val="4F007BC3"/>
    <w:rsid w:val="4F0A15BF"/>
    <w:rsid w:val="4F135B85"/>
    <w:rsid w:val="4F1638C7"/>
    <w:rsid w:val="4F1B67C9"/>
    <w:rsid w:val="4F4233B7"/>
    <w:rsid w:val="4F457D08"/>
    <w:rsid w:val="4F60418D"/>
    <w:rsid w:val="4F6C7D95"/>
    <w:rsid w:val="4F80187B"/>
    <w:rsid w:val="4F8944AF"/>
    <w:rsid w:val="4F8D6993"/>
    <w:rsid w:val="4F970D1C"/>
    <w:rsid w:val="4F9A62A6"/>
    <w:rsid w:val="4FC34047"/>
    <w:rsid w:val="4FD212C0"/>
    <w:rsid w:val="4FD76F97"/>
    <w:rsid w:val="4FDD00E1"/>
    <w:rsid w:val="4FE373A1"/>
    <w:rsid w:val="4FE92D8A"/>
    <w:rsid w:val="4FED5F2A"/>
    <w:rsid w:val="4FEE65F2"/>
    <w:rsid w:val="50147B70"/>
    <w:rsid w:val="50247B60"/>
    <w:rsid w:val="50380ABA"/>
    <w:rsid w:val="50521A79"/>
    <w:rsid w:val="50616DC4"/>
    <w:rsid w:val="506A401D"/>
    <w:rsid w:val="506B379F"/>
    <w:rsid w:val="506B7C43"/>
    <w:rsid w:val="50816EA0"/>
    <w:rsid w:val="50870DA9"/>
    <w:rsid w:val="508A55B1"/>
    <w:rsid w:val="509129BD"/>
    <w:rsid w:val="50980B6A"/>
    <w:rsid w:val="50A07754"/>
    <w:rsid w:val="50A61150"/>
    <w:rsid w:val="50B163AF"/>
    <w:rsid w:val="50B85D0D"/>
    <w:rsid w:val="50BD4B06"/>
    <w:rsid w:val="50CE26AB"/>
    <w:rsid w:val="50D024A2"/>
    <w:rsid w:val="50D2381E"/>
    <w:rsid w:val="50EA304C"/>
    <w:rsid w:val="51085E7F"/>
    <w:rsid w:val="510A0D9D"/>
    <w:rsid w:val="510A0FF2"/>
    <w:rsid w:val="510C770C"/>
    <w:rsid w:val="512178AF"/>
    <w:rsid w:val="51254295"/>
    <w:rsid w:val="512914C1"/>
    <w:rsid w:val="51295D28"/>
    <w:rsid w:val="512E60BF"/>
    <w:rsid w:val="51360251"/>
    <w:rsid w:val="514606C6"/>
    <w:rsid w:val="51524190"/>
    <w:rsid w:val="515D463D"/>
    <w:rsid w:val="515D758B"/>
    <w:rsid w:val="516052CE"/>
    <w:rsid w:val="51632D16"/>
    <w:rsid w:val="51724C3F"/>
    <w:rsid w:val="5186674D"/>
    <w:rsid w:val="518C7E71"/>
    <w:rsid w:val="51A60C76"/>
    <w:rsid w:val="51A61200"/>
    <w:rsid w:val="51A8334E"/>
    <w:rsid w:val="51AB39CE"/>
    <w:rsid w:val="51C47E36"/>
    <w:rsid w:val="51F966FC"/>
    <w:rsid w:val="51FA0C8B"/>
    <w:rsid w:val="52134095"/>
    <w:rsid w:val="522608AF"/>
    <w:rsid w:val="522B3570"/>
    <w:rsid w:val="52466EEA"/>
    <w:rsid w:val="525635A3"/>
    <w:rsid w:val="526C5746"/>
    <w:rsid w:val="526D6413"/>
    <w:rsid w:val="52720E14"/>
    <w:rsid w:val="527D041B"/>
    <w:rsid w:val="52826DAC"/>
    <w:rsid w:val="529F1E45"/>
    <w:rsid w:val="52AD0E8E"/>
    <w:rsid w:val="52AF61E1"/>
    <w:rsid w:val="52C45947"/>
    <w:rsid w:val="52C8312A"/>
    <w:rsid w:val="52C9356C"/>
    <w:rsid w:val="52D407EB"/>
    <w:rsid w:val="52E1554F"/>
    <w:rsid w:val="52E511BE"/>
    <w:rsid w:val="52F07DFC"/>
    <w:rsid w:val="531254ED"/>
    <w:rsid w:val="53185E60"/>
    <w:rsid w:val="53204BD9"/>
    <w:rsid w:val="53300E78"/>
    <w:rsid w:val="533407C0"/>
    <w:rsid w:val="53376114"/>
    <w:rsid w:val="533F163E"/>
    <w:rsid w:val="53513120"/>
    <w:rsid w:val="53656BCB"/>
    <w:rsid w:val="536E65EE"/>
    <w:rsid w:val="53930B93"/>
    <w:rsid w:val="53AF6F56"/>
    <w:rsid w:val="53B21580"/>
    <w:rsid w:val="53B86CFB"/>
    <w:rsid w:val="53C658BC"/>
    <w:rsid w:val="53D004E8"/>
    <w:rsid w:val="53D64112"/>
    <w:rsid w:val="53DC329D"/>
    <w:rsid w:val="53DF5E7C"/>
    <w:rsid w:val="53E930F7"/>
    <w:rsid w:val="53EC273F"/>
    <w:rsid w:val="53ED2320"/>
    <w:rsid w:val="54016E61"/>
    <w:rsid w:val="54065D20"/>
    <w:rsid w:val="540D2C74"/>
    <w:rsid w:val="543C0BE9"/>
    <w:rsid w:val="543F566E"/>
    <w:rsid w:val="545178E5"/>
    <w:rsid w:val="5467792F"/>
    <w:rsid w:val="54750DF4"/>
    <w:rsid w:val="547905AA"/>
    <w:rsid w:val="54931516"/>
    <w:rsid w:val="54C620A2"/>
    <w:rsid w:val="54CE74AF"/>
    <w:rsid w:val="54CF254E"/>
    <w:rsid w:val="54D413B8"/>
    <w:rsid w:val="54D44008"/>
    <w:rsid w:val="54E16A77"/>
    <w:rsid w:val="54FB4092"/>
    <w:rsid w:val="55122522"/>
    <w:rsid w:val="552D0B4D"/>
    <w:rsid w:val="55322ADD"/>
    <w:rsid w:val="553304D8"/>
    <w:rsid w:val="553700F3"/>
    <w:rsid w:val="55376EDE"/>
    <w:rsid w:val="55424374"/>
    <w:rsid w:val="555516BB"/>
    <w:rsid w:val="55640394"/>
    <w:rsid w:val="556D3B35"/>
    <w:rsid w:val="55924DCB"/>
    <w:rsid w:val="559A7000"/>
    <w:rsid w:val="55BB3BD0"/>
    <w:rsid w:val="55C23E61"/>
    <w:rsid w:val="55C94E39"/>
    <w:rsid w:val="55D21CB3"/>
    <w:rsid w:val="55D65AE8"/>
    <w:rsid w:val="55E737FF"/>
    <w:rsid w:val="56004A8C"/>
    <w:rsid w:val="5607161C"/>
    <w:rsid w:val="561F7505"/>
    <w:rsid w:val="563A3B68"/>
    <w:rsid w:val="563D7C13"/>
    <w:rsid w:val="563E5F58"/>
    <w:rsid w:val="565C59BC"/>
    <w:rsid w:val="566B4D42"/>
    <w:rsid w:val="568752AC"/>
    <w:rsid w:val="56987D9F"/>
    <w:rsid w:val="56A10441"/>
    <w:rsid w:val="56B802D4"/>
    <w:rsid w:val="56BB1A3C"/>
    <w:rsid w:val="56BB4E8E"/>
    <w:rsid w:val="56C169E5"/>
    <w:rsid w:val="56D133FC"/>
    <w:rsid w:val="56E0560F"/>
    <w:rsid w:val="56E10D7D"/>
    <w:rsid w:val="56F711D3"/>
    <w:rsid w:val="570C0F09"/>
    <w:rsid w:val="571760EF"/>
    <w:rsid w:val="57284F8E"/>
    <w:rsid w:val="5729188C"/>
    <w:rsid w:val="573471D2"/>
    <w:rsid w:val="57365C7E"/>
    <w:rsid w:val="5756729A"/>
    <w:rsid w:val="576E5E92"/>
    <w:rsid w:val="57780712"/>
    <w:rsid w:val="579E50CE"/>
    <w:rsid w:val="579F72CD"/>
    <w:rsid w:val="57A85B5A"/>
    <w:rsid w:val="57B141AA"/>
    <w:rsid w:val="57B97E77"/>
    <w:rsid w:val="57C049B1"/>
    <w:rsid w:val="57C22A0E"/>
    <w:rsid w:val="58014E0A"/>
    <w:rsid w:val="580A21FF"/>
    <w:rsid w:val="580E5A83"/>
    <w:rsid w:val="58121BBD"/>
    <w:rsid w:val="581D28B2"/>
    <w:rsid w:val="583667C5"/>
    <w:rsid w:val="583A6878"/>
    <w:rsid w:val="586B71BC"/>
    <w:rsid w:val="58733B38"/>
    <w:rsid w:val="587924B3"/>
    <w:rsid w:val="58794897"/>
    <w:rsid w:val="58841C85"/>
    <w:rsid w:val="58906498"/>
    <w:rsid w:val="58987048"/>
    <w:rsid w:val="58A6364C"/>
    <w:rsid w:val="58BF734E"/>
    <w:rsid w:val="58CC5BAC"/>
    <w:rsid w:val="58D34BD2"/>
    <w:rsid w:val="591923BD"/>
    <w:rsid w:val="592106AE"/>
    <w:rsid w:val="592C090B"/>
    <w:rsid w:val="59301A29"/>
    <w:rsid w:val="59401C6C"/>
    <w:rsid w:val="59457F9D"/>
    <w:rsid w:val="594D4C89"/>
    <w:rsid w:val="59527BF2"/>
    <w:rsid w:val="59554FEC"/>
    <w:rsid w:val="59701E26"/>
    <w:rsid w:val="597A115C"/>
    <w:rsid w:val="59893975"/>
    <w:rsid w:val="598A738C"/>
    <w:rsid w:val="59A85348"/>
    <w:rsid w:val="59B3425C"/>
    <w:rsid w:val="59C73975"/>
    <w:rsid w:val="59CC1752"/>
    <w:rsid w:val="59CF475B"/>
    <w:rsid w:val="59D217EB"/>
    <w:rsid w:val="59DA0E48"/>
    <w:rsid w:val="59F47686"/>
    <w:rsid w:val="59F969E3"/>
    <w:rsid w:val="5A001035"/>
    <w:rsid w:val="5A00764E"/>
    <w:rsid w:val="5A0859E9"/>
    <w:rsid w:val="5A1A79E1"/>
    <w:rsid w:val="5A2F6381"/>
    <w:rsid w:val="5A3734FB"/>
    <w:rsid w:val="5A376F91"/>
    <w:rsid w:val="5A461C11"/>
    <w:rsid w:val="5A4D705A"/>
    <w:rsid w:val="5A4E4387"/>
    <w:rsid w:val="5A567846"/>
    <w:rsid w:val="5A5B5812"/>
    <w:rsid w:val="5A600155"/>
    <w:rsid w:val="5A66205E"/>
    <w:rsid w:val="5A671CDE"/>
    <w:rsid w:val="5A6951E1"/>
    <w:rsid w:val="5A6E746B"/>
    <w:rsid w:val="5A6F4AC9"/>
    <w:rsid w:val="5A7E5C4F"/>
    <w:rsid w:val="5A81078E"/>
    <w:rsid w:val="5AA02126"/>
    <w:rsid w:val="5AB521E6"/>
    <w:rsid w:val="5ABB5323"/>
    <w:rsid w:val="5B027490"/>
    <w:rsid w:val="5B041561"/>
    <w:rsid w:val="5B0E58E9"/>
    <w:rsid w:val="5B1A6899"/>
    <w:rsid w:val="5B1E422F"/>
    <w:rsid w:val="5B264E92"/>
    <w:rsid w:val="5B6634E0"/>
    <w:rsid w:val="5B6661A9"/>
    <w:rsid w:val="5B6B0AF7"/>
    <w:rsid w:val="5B773066"/>
    <w:rsid w:val="5B8147BE"/>
    <w:rsid w:val="5B857E0A"/>
    <w:rsid w:val="5B865931"/>
    <w:rsid w:val="5B9F2D78"/>
    <w:rsid w:val="5BA67282"/>
    <w:rsid w:val="5BAA7871"/>
    <w:rsid w:val="5BC62F1F"/>
    <w:rsid w:val="5BDC060C"/>
    <w:rsid w:val="5BFB1E7B"/>
    <w:rsid w:val="5C032D84"/>
    <w:rsid w:val="5C4D667C"/>
    <w:rsid w:val="5C552DCC"/>
    <w:rsid w:val="5C735EC7"/>
    <w:rsid w:val="5C7B50EE"/>
    <w:rsid w:val="5C904575"/>
    <w:rsid w:val="5C91188E"/>
    <w:rsid w:val="5C916A65"/>
    <w:rsid w:val="5CA86694"/>
    <w:rsid w:val="5CAB54B0"/>
    <w:rsid w:val="5CB15E1D"/>
    <w:rsid w:val="5CBC66C4"/>
    <w:rsid w:val="5CBD2B03"/>
    <w:rsid w:val="5CBE3035"/>
    <w:rsid w:val="5CC40525"/>
    <w:rsid w:val="5CE0366C"/>
    <w:rsid w:val="5CE645BB"/>
    <w:rsid w:val="5CFA2018"/>
    <w:rsid w:val="5D0044ED"/>
    <w:rsid w:val="5D1640AF"/>
    <w:rsid w:val="5D186461"/>
    <w:rsid w:val="5D38165A"/>
    <w:rsid w:val="5D3A4BD9"/>
    <w:rsid w:val="5D3D5B87"/>
    <w:rsid w:val="5D3D7C30"/>
    <w:rsid w:val="5D7330E8"/>
    <w:rsid w:val="5D926ACE"/>
    <w:rsid w:val="5D9B1B67"/>
    <w:rsid w:val="5DA930B5"/>
    <w:rsid w:val="5DB2695F"/>
    <w:rsid w:val="5DBE13B2"/>
    <w:rsid w:val="5DC0137C"/>
    <w:rsid w:val="5DC310BE"/>
    <w:rsid w:val="5DF748C4"/>
    <w:rsid w:val="5DF76AAF"/>
    <w:rsid w:val="5E007C1C"/>
    <w:rsid w:val="5E0771FD"/>
    <w:rsid w:val="5E090AC7"/>
    <w:rsid w:val="5E220F75"/>
    <w:rsid w:val="5E230800"/>
    <w:rsid w:val="5E2C27BF"/>
    <w:rsid w:val="5E42307D"/>
    <w:rsid w:val="5E5C1C5F"/>
    <w:rsid w:val="5E6B7D23"/>
    <w:rsid w:val="5E6E102A"/>
    <w:rsid w:val="5E717C83"/>
    <w:rsid w:val="5E751504"/>
    <w:rsid w:val="5E7A63AE"/>
    <w:rsid w:val="5E7D73A5"/>
    <w:rsid w:val="5EA04BD7"/>
    <w:rsid w:val="5EAE2404"/>
    <w:rsid w:val="5EB36DEA"/>
    <w:rsid w:val="5EB94577"/>
    <w:rsid w:val="5EC17405"/>
    <w:rsid w:val="5EC32DFB"/>
    <w:rsid w:val="5EC455DD"/>
    <w:rsid w:val="5ED1433D"/>
    <w:rsid w:val="5EED5641"/>
    <w:rsid w:val="5EF16715"/>
    <w:rsid w:val="5F011604"/>
    <w:rsid w:val="5F064676"/>
    <w:rsid w:val="5F3560BF"/>
    <w:rsid w:val="5F3C12FF"/>
    <w:rsid w:val="5F4C5CE4"/>
    <w:rsid w:val="5F616AD6"/>
    <w:rsid w:val="5F6B5097"/>
    <w:rsid w:val="5F6F0822"/>
    <w:rsid w:val="5F7D4D16"/>
    <w:rsid w:val="5FB2478F"/>
    <w:rsid w:val="5FBB0C00"/>
    <w:rsid w:val="5FBE7704"/>
    <w:rsid w:val="5FC11526"/>
    <w:rsid w:val="5FD0793C"/>
    <w:rsid w:val="5FD27B73"/>
    <w:rsid w:val="5FD34CC4"/>
    <w:rsid w:val="5FE61094"/>
    <w:rsid w:val="5FF32FFA"/>
    <w:rsid w:val="600A4521"/>
    <w:rsid w:val="600E6930"/>
    <w:rsid w:val="601A2EBA"/>
    <w:rsid w:val="603144C3"/>
    <w:rsid w:val="60624BBE"/>
    <w:rsid w:val="606D08D2"/>
    <w:rsid w:val="60866C2D"/>
    <w:rsid w:val="60B93CBC"/>
    <w:rsid w:val="60CD295D"/>
    <w:rsid w:val="60DB486A"/>
    <w:rsid w:val="60F715A3"/>
    <w:rsid w:val="6105554A"/>
    <w:rsid w:val="612C3FFB"/>
    <w:rsid w:val="612E16FD"/>
    <w:rsid w:val="61306EDC"/>
    <w:rsid w:val="61356ED1"/>
    <w:rsid w:val="61406F72"/>
    <w:rsid w:val="61451322"/>
    <w:rsid w:val="61500F67"/>
    <w:rsid w:val="617B36D1"/>
    <w:rsid w:val="619A4202"/>
    <w:rsid w:val="61A77850"/>
    <w:rsid w:val="61AD1F23"/>
    <w:rsid w:val="61BF72C0"/>
    <w:rsid w:val="61C3168D"/>
    <w:rsid w:val="61C918FB"/>
    <w:rsid w:val="620771B2"/>
    <w:rsid w:val="62080A1D"/>
    <w:rsid w:val="622D4D58"/>
    <w:rsid w:val="622E02E3"/>
    <w:rsid w:val="624E643B"/>
    <w:rsid w:val="625B2843"/>
    <w:rsid w:val="62712821"/>
    <w:rsid w:val="62730F7B"/>
    <w:rsid w:val="62953005"/>
    <w:rsid w:val="62A27631"/>
    <w:rsid w:val="62C17A7B"/>
    <w:rsid w:val="62FC3469"/>
    <w:rsid w:val="63084806"/>
    <w:rsid w:val="630E1F93"/>
    <w:rsid w:val="63141A74"/>
    <w:rsid w:val="631D47AB"/>
    <w:rsid w:val="632772B9"/>
    <w:rsid w:val="633059CA"/>
    <w:rsid w:val="6364313A"/>
    <w:rsid w:val="636D1953"/>
    <w:rsid w:val="636F09B8"/>
    <w:rsid w:val="63714235"/>
    <w:rsid w:val="637D3ABD"/>
    <w:rsid w:val="63B04B6E"/>
    <w:rsid w:val="63B233B2"/>
    <w:rsid w:val="63BA5D30"/>
    <w:rsid w:val="63C274B8"/>
    <w:rsid w:val="63D01E7F"/>
    <w:rsid w:val="63D979B2"/>
    <w:rsid w:val="63EC6049"/>
    <w:rsid w:val="63F773CC"/>
    <w:rsid w:val="63FD189B"/>
    <w:rsid w:val="6420020E"/>
    <w:rsid w:val="642A1AC8"/>
    <w:rsid w:val="642B10E5"/>
    <w:rsid w:val="6454481E"/>
    <w:rsid w:val="645760BC"/>
    <w:rsid w:val="6458033D"/>
    <w:rsid w:val="646215BF"/>
    <w:rsid w:val="64A81D2B"/>
    <w:rsid w:val="64B435C8"/>
    <w:rsid w:val="64D002AE"/>
    <w:rsid w:val="64D70A5F"/>
    <w:rsid w:val="64F330AD"/>
    <w:rsid w:val="65053D6A"/>
    <w:rsid w:val="6513595F"/>
    <w:rsid w:val="65220637"/>
    <w:rsid w:val="65401C24"/>
    <w:rsid w:val="65562818"/>
    <w:rsid w:val="655B01C9"/>
    <w:rsid w:val="657038D9"/>
    <w:rsid w:val="65905ADC"/>
    <w:rsid w:val="659B0C70"/>
    <w:rsid w:val="65B91B2F"/>
    <w:rsid w:val="65DA0D53"/>
    <w:rsid w:val="65DB0A87"/>
    <w:rsid w:val="65E46075"/>
    <w:rsid w:val="65E62B17"/>
    <w:rsid w:val="65EA5BC3"/>
    <w:rsid w:val="65F8567D"/>
    <w:rsid w:val="66063C56"/>
    <w:rsid w:val="66140709"/>
    <w:rsid w:val="662B662D"/>
    <w:rsid w:val="666708AB"/>
    <w:rsid w:val="667475B4"/>
    <w:rsid w:val="66747D26"/>
    <w:rsid w:val="667747F4"/>
    <w:rsid w:val="66915D04"/>
    <w:rsid w:val="66A551F1"/>
    <w:rsid w:val="66A95111"/>
    <w:rsid w:val="66B4551F"/>
    <w:rsid w:val="66B50FD2"/>
    <w:rsid w:val="66EB147E"/>
    <w:rsid w:val="66ED0F5A"/>
    <w:rsid w:val="67001AC3"/>
    <w:rsid w:val="67190221"/>
    <w:rsid w:val="671B4CC0"/>
    <w:rsid w:val="67472502"/>
    <w:rsid w:val="67523E04"/>
    <w:rsid w:val="675A6D1E"/>
    <w:rsid w:val="67901777"/>
    <w:rsid w:val="67906760"/>
    <w:rsid w:val="67AB3FDE"/>
    <w:rsid w:val="67C23573"/>
    <w:rsid w:val="67C831A4"/>
    <w:rsid w:val="67C8720F"/>
    <w:rsid w:val="67D510FF"/>
    <w:rsid w:val="67D92E70"/>
    <w:rsid w:val="67E759A9"/>
    <w:rsid w:val="67EE7592"/>
    <w:rsid w:val="67F65B74"/>
    <w:rsid w:val="680B78E9"/>
    <w:rsid w:val="680D45C4"/>
    <w:rsid w:val="681151C8"/>
    <w:rsid w:val="68205AFC"/>
    <w:rsid w:val="6835132F"/>
    <w:rsid w:val="68463C36"/>
    <w:rsid w:val="68541712"/>
    <w:rsid w:val="68562439"/>
    <w:rsid w:val="68860A0A"/>
    <w:rsid w:val="68B702B5"/>
    <w:rsid w:val="68E0459C"/>
    <w:rsid w:val="68F550AB"/>
    <w:rsid w:val="69083E29"/>
    <w:rsid w:val="691502BF"/>
    <w:rsid w:val="691602F4"/>
    <w:rsid w:val="69187539"/>
    <w:rsid w:val="69231B8D"/>
    <w:rsid w:val="692A4234"/>
    <w:rsid w:val="69394DDB"/>
    <w:rsid w:val="6953206B"/>
    <w:rsid w:val="69584819"/>
    <w:rsid w:val="69605006"/>
    <w:rsid w:val="698D100B"/>
    <w:rsid w:val="69974C48"/>
    <w:rsid w:val="699F1E94"/>
    <w:rsid w:val="69A12B8F"/>
    <w:rsid w:val="69D967D1"/>
    <w:rsid w:val="69EC15D6"/>
    <w:rsid w:val="6A000ADF"/>
    <w:rsid w:val="6A1876FA"/>
    <w:rsid w:val="6A231730"/>
    <w:rsid w:val="6A2B4273"/>
    <w:rsid w:val="6A2B6021"/>
    <w:rsid w:val="6A3B5729"/>
    <w:rsid w:val="6A440E91"/>
    <w:rsid w:val="6A5527D2"/>
    <w:rsid w:val="6A5C730C"/>
    <w:rsid w:val="6A6A42B6"/>
    <w:rsid w:val="6A7B241B"/>
    <w:rsid w:val="6A883473"/>
    <w:rsid w:val="6A995680"/>
    <w:rsid w:val="6AAA5681"/>
    <w:rsid w:val="6AB87A25"/>
    <w:rsid w:val="6ACF301A"/>
    <w:rsid w:val="6ADC0A6B"/>
    <w:rsid w:val="6AE1319A"/>
    <w:rsid w:val="6AED32D6"/>
    <w:rsid w:val="6AFA14FA"/>
    <w:rsid w:val="6B034621"/>
    <w:rsid w:val="6B212E61"/>
    <w:rsid w:val="6B2A0C5E"/>
    <w:rsid w:val="6B32606A"/>
    <w:rsid w:val="6B3C7DBA"/>
    <w:rsid w:val="6B416685"/>
    <w:rsid w:val="6B5324C8"/>
    <w:rsid w:val="6B767361"/>
    <w:rsid w:val="6B8922FC"/>
    <w:rsid w:val="6BA06610"/>
    <w:rsid w:val="6BA42B26"/>
    <w:rsid w:val="6BAB24B1"/>
    <w:rsid w:val="6BB32772"/>
    <w:rsid w:val="6BB957B0"/>
    <w:rsid w:val="6BBF3FBF"/>
    <w:rsid w:val="6BCA0B67"/>
    <w:rsid w:val="6BCD5068"/>
    <w:rsid w:val="6BD97AFD"/>
    <w:rsid w:val="6BEB40A9"/>
    <w:rsid w:val="6BFF57BE"/>
    <w:rsid w:val="6C021860"/>
    <w:rsid w:val="6C123FA9"/>
    <w:rsid w:val="6C3867D3"/>
    <w:rsid w:val="6C386C1D"/>
    <w:rsid w:val="6C39327C"/>
    <w:rsid w:val="6C3B056C"/>
    <w:rsid w:val="6C3E2AE1"/>
    <w:rsid w:val="6C435618"/>
    <w:rsid w:val="6C4B45B8"/>
    <w:rsid w:val="6C597B84"/>
    <w:rsid w:val="6C68265A"/>
    <w:rsid w:val="6C6D0B73"/>
    <w:rsid w:val="6C7222AE"/>
    <w:rsid w:val="6C783074"/>
    <w:rsid w:val="6C832144"/>
    <w:rsid w:val="6CA67251"/>
    <w:rsid w:val="6CA963BE"/>
    <w:rsid w:val="6CEE5E4F"/>
    <w:rsid w:val="6CF7148A"/>
    <w:rsid w:val="6D117F87"/>
    <w:rsid w:val="6D2F00AE"/>
    <w:rsid w:val="6D4B2536"/>
    <w:rsid w:val="6D4E0963"/>
    <w:rsid w:val="6D4E2EE1"/>
    <w:rsid w:val="6D5A4776"/>
    <w:rsid w:val="6D5D19C7"/>
    <w:rsid w:val="6D627B71"/>
    <w:rsid w:val="6D6537A5"/>
    <w:rsid w:val="6D772E30"/>
    <w:rsid w:val="6D7E7DE6"/>
    <w:rsid w:val="6D8057A7"/>
    <w:rsid w:val="6D8360D1"/>
    <w:rsid w:val="6D836174"/>
    <w:rsid w:val="6D8B4F45"/>
    <w:rsid w:val="6D9F41F8"/>
    <w:rsid w:val="6DA91761"/>
    <w:rsid w:val="6DB82591"/>
    <w:rsid w:val="6DCA3B30"/>
    <w:rsid w:val="6DD32C57"/>
    <w:rsid w:val="6DDF0252"/>
    <w:rsid w:val="6DE5298B"/>
    <w:rsid w:val="6DEE71E8"/>
    <w:rsid w:val="6DF27794"/>
    <w:rsid w:val="6DF36EF3"/>
    <w:rsid w:val="6E0F64FE"/>
    <w:rsid w:val="6E196FF3"/>
    <w:rsid w:val="6E284011"/>
    <w:rsid w:val="6E315BD0"/>
    <w:rsid w:val="6E55366C"/>
    <w:rsid w:val="6E612755"/>
    <w:rsid w:val="6E82136D"/>
    <w:rsid w:val="6E90735F"/>
    <w:rsid w:val="6EA6036C"/>
    <w:rsid w:val="6EA765DB"/>
    <w:rsid w:val="6EA91C0A"/>
    <w:rsid w:val="6EB26D11"/>
    <w:rsid w:val="6EC8494C"/>
    <w:rsid w:val="6ED055DC"/>
    <w:rsid w:val="6ED34FB9"/>
    <w:rsid w:val="6EDF5D7A"/>
    <w:rsid w:val="6EEC1804"/>
    <w:rsid w:val="6EF36A95"/>
    <w:rsid w:val="6F0230C8"/>
    <w:rsid w:val="6F026911"/>
    <w:rsid w:val="6F087ADA"/>
    <w:rsid w:val="6F12734A"/>
    <w:rsid w:val="6F1B21D8"/>
    <w:rsid w:val="6F2A6F6F"/>
    <w:rsid w:val="6F386628"/>
    <w:rsid w:val="6F3A279F"/>
    <w:rsid w:val="6F4E5EAA"/>
    <w:rsid w:val="6F6F1FE3"/>
    <w:rsid w:val="6F781FC5"/>
    <w:rsid w:val="6F90518A"/>
    <w:rsid w:val="6F91484E"/>
    <w:rsid w:val="6F973996"/>
    <w:rsid w:val="6FBB0A5D"/>
    <w:rsid w:val="6FD7038D"/>
    <w:rsid w:val="6FF1788D"/>
    <w:rsid w:val="6FF41EBB"/>
    <w:rsid w:val="6FFE1AE2"/>
    <w:rsid w:val="700532A9"/>
    <w:rsid w:val="701E0738"/>
    <w:rsid w:val="70266CAE"/>
    <w:rsid w:val="703674CE"/>
    <w:rsid w:val="703E0D95"/>
    <w:rsid w:val="70454E8C"/>
    <w:rsid w:val="704C0C03"/>
    <w:rsid w:val="70531ED5"/>
    <w:rsid w:val="70533B97"/>
    <w:rsid w:val="70592BE7"/>
    <w:rsid w:val="70743B98"/>
    <w:rsid w:val="70866F8A"/>
    <w:rsid w:val="70953C43"/>
    <w:rsid w:val="70A67761"/>
    <w:rsid w:val="70D72EA9"/>
    <w:rsid w:val="70EB6BD0"/>
    <w:rsid w:val="7104744D"/>
    <w:rsid w:val="711D243B"/>
    <w:rsid w:val="713B111A"/>
    <w:rsid w:val="714F6400"/>
    <w:rsid w:val="714F65DC"/>
    <w:rsid w:val="71617E94"/>
    <w:rsid w:val="716A3158"/>
    <w:rsid w:val="716E3926"/>
    <w:rsid w:val="716F4C2B"/>
    <w:rsid w:val="717520BB"/>
    <w:rsid w:val="71797686"/>
    <w:rsid w:val="717B788E"/>
    <w:rsid w:val="718167B7"/>
    <w:rsid w:val="71950F82"/>
    <w:rsid w:val="71A24560"/>
    <w:rsid w:val="71AA3CCF"/>
    <w:rsid w:val="71AB7DE0"/>
    <w:rsid w:val="71CA4371"/>
    <w:rsid w:val="71CE71C3"/>
    <w:rsid w:val="71D05F49"/>
    <w:rsid w:val="71DC30DE"/>
    <w:rsid w:val="71DE7E1D"/>
    <w:rsid w:val="71E52F59"/>
    <w:rsid w:val="71FD46B3"/>
    <w:rsid w:val="72181581"/>
    <w:rsid w:val="721C60E7"/>
    <w:rsid w:val="7220357F"/>
    <w:rsid w:val="722078C9"/>
    <w:rsid w:val="722A535E"/>
    <w:rsid w:val="72314556"/>
    <w:rsid w:val="725B76BF"/>
    <w:rsid w:val="729130E1"/>
    <w:rsid w:val="72993414"/>
    <w:rsid w:val="72AA090C"/>
    <w:rsid w:val="72B164B1"/>
    <w:rsid w:val="72B56DCF"/>
    <w:rsid w:val="72CB1664"/>
    <w:rsid w:val="730B69EF"/>
    <w:rsid w:val="73150AD9"/>
    <w:rsid w:val="73163983"/>
    <w:rsid w:val="732655A2"/>
    <w:rsid w:val="732D105C"/>
    <w:rsid w:val="73375A36"/>
    <w:rsid w:val="73762935"/>
    <w:rsid w:val="73877819"/>
    <w:rsid w:val="739764D5"/>
    <w:rsid w:val="739D6139"/>
    <w:rsid w:val="739E1612"/>
    <w:rsid w:val="739E3BBB"/>
    <w:rsid w:val="73AC1D45"/>
    <w:rsid w:val="73B41D9C"/>
    <w:rsid w:val="73C64398"/>
    <w:rsid w:val="73CA1A40"/>
    <w:rsid w:val="73CD35DF"/>
    <w:rsid w:val="73D26CC6"/>
    <w:rsid w:val="73DE2A18"/>
    <w:rsid w:val="73EE04C2"/>
    <w:rsid w:val="73F456D6"/>
    <w:rsid w:val="74071CB4"/>
    <w:rsid w:val="7409326A"/>
    <w:rsid w:val="740F205D"/>
    <w:rsid w:val="741312F3"/>
    <w:rsid w:val="741B228B"/>
    <w:rsid w:val="742C2C2D"/>
    <w:rsid w:val="742F6D2D"/>
    <w:rsid w:val="743566B8"/>
    <w:rsid w:val="743E0056"/>
    <w:rsid w:val="74464405"/>
    <w:rsid w:val="744C2E96"/>
    <w:rsid w:val="7457037A"/>
    <w:rsid w:val="7461749A"/>
    <w:rsid w:val="7463285B"/>
    <w:rsid w:val="746C1582"/>
    <w:rsid w:val="748527D2"/>
    <w:rsid w:val="748D1ED3"/>
    <w:rsid w:val="749A1CC2"/>
    <w:rsid w:val="74A649BC"/>
    <w:rsid w:val="74B82BA7"/>
    <w:rsid w:val="74C64922"/>
    <w:rsid w:val="74CC6652"/>
    <w:rsid w:val="74EE0065"/>
    <w:rsid w:val="74F01713"/>
    <w:rsid w:val="74FD3B6F"/>
    <w:rsid w:val="750B72C2"/>
    <w:rsid w:val="75173427"/>
    <w:rsid w:val="7517617D"/>
    <w:rsid w:val="75185176"/>
    <w:rsid w:val="75263FB5"/>
    <w:rsid w:val="75405E21"/>
    <w:rsid w:val="75465AB3"/>
    <w:rsid w:val="754E563E"/>
    <w:rsid w:val="75853A5B"/>
    <w:rsid w:val="758614DD"/>
    <w:rsid w:val="759F3CEA"/>
    <w:rsid w:val="75A629FF"/>
    <w:rsid w:val="75BB2F61"/>
    <w:rsid w:val="75E22227"/>
    <w:rsid w:val="76164725"/>
    <w:rsid w:val="76190ABD"/>
    <w:rsid w:val="76305AF4"/>
    <w:rsid w:val="763C5A77"/>
    <w:rsid w:val="76587637"/>
    <w:rsid w:val="7677439C"/>
    <w:rsid w:val="767825EE"/>
    <w:rsid w:val="767D7C04"/>
    <w:rsid w:val="768F1EE1"/>
    <w:rsid w:val="76920715"/>
    <w:rsid w:val="769E2B5F"/>
    <w:rsid w:val="76C30454"/>
    <w:rsid w:val="76CB0718"/>
    <w:rsid w:val="76CB62F1"/>
    <w:rsid w:val="76CD17F4"/>
    <w:rsid w:val="76D13DEC"/>
    <w:rsid w:val="7706409E"/>
    <w:rsid w:val="771334B6"/>
    <w:rsid w:val="772A798F"/>
    <w:rsid w:val="7731279D"/>
    <w:rsid w:val="773C312D"/>
    <w:rsid w:val="77492442"/>
    <w:rsid w:val="77532D52"/>
    <w:rsid w:val="776E0CF0"/>
    <w:rsid w:val="77707769"/>
    <w:rsid w:val="77727D83"/>
    <w:rsid w:val="778D031B"/>
    <w:rsid w:val="77903967"/>
    <w:rsid w:val="77D870BC"/>
    <w:rsid w:val="77DA6802"/>
    <w:rsid w:val="77F86BCB"/>
    <w:rsid w:val="77F959B0"/>
    <w:rsid w:val="7808174F"/>
    <w:rsid w:val="78141A18"/>
    <w:rsid w:val="78527978"/>
    <w:rsid w:val="785C1A9B"/>
    <w:rsid w:val="785C5783"/>
    <w:rsid w:val="78656092"/>
    <w:rsid w:val="787D3C56"/>
    <w:rsid w:val="78A3591C"/>
    <w:rsid w:val="78B905F3"/>
    <w:rsid w:val="78B93018"/>
    <w:rsid w:val="78CF3543"/>
    <w:rsid w:val="78EA52F9"/>
    <w:rsid w:val="78EF0B61"/>
    <w:rsid w:val="78F148D9"/>
    <w:rsid w:val="78F84707"/>
    <w:rsid w:val="78FF0DA4"/>
    <w:rsid w:val="790A49DD"/>
    <w:rsid w:val="790B5EDC"/>
    <w:rsid w:val="792D01E1"/>
    <w:rsid w:val="793D18CD"/>
    <w:rsid w:val="79507314"/>
    <w:rsid w:val="795723C3"/>
    <w:rsid w:val="79616EB4"/>
    <w:rsid w:val="79642735"/>
    <w:rsid w:val="79AF3739"/>
    <w:rsid w:val="79B2297D"/>
    <w:rsid w:val="79B25E17"/>
    <w:rsid w:val="79B370AD"/>
    <w:rsid w:val="79D00993"/>
    <w:rsid w:val="79D54511"/>
    <w:rsid w:val="79E41D86"/>
    <w:rsid w:val="79F40CAA"/>
    <w:rsid w:val="79FE105C"/>
    <w:rsid w:val="7A0149B0"/>
    <w:rsid w:val="7A1E34AC"/>
    <w:rsid w:val="7A653295"/>
    <w:rsid w:val="7A843E8E"/>
    <w:rsid w:val="7A9D2951"/>
    <w:rsid w:val="7A9E0310"/>
    <w:rsid w:val="7AA10D1C"/>
    <w:rsid w:val="7AAE1CA3"/>
    <w:rsid w:val="7AB411C2"/>
    <w:rsid w:val="7AC22512"/>
    <w:rsid w:val="7AC62985"/>
    <w:rsid w:val="7AC758F2"/>
    <w:rsid w:val="7ADC1122"/>
    <w:rsid w:val="7ADF1481"/>
    <w:rsid w:val="7AE244DA"/>
    <w:rsid w:val="7AE83BB3"/>
    <w:rsid w:val="7B007056"/>
    <w:rsid w:val="7B116F75"/>
    <w:rsid w:val="7B1918C4"/>
    <w:rsid w:val="7B2D7082"/>
    <w:rsid w:val="7B6F4C09"/>
    <w:rsid w:val="7B823FE2"/>
    <w:rsid w:val="7B861193"/>
    <w:rsid w:val="7BAD120F"/>
    <w:rsid w:val="7BB7737D"/>
    <w:rsid w:val="7BB92417"/>
    <w:rsid w:val="7BD07A43"/>
    <w:rsid w:val="7BDD2F9C"/>
    <w:rsid w:val="7BE058AE"/>
    <w:rsid w:val="7BEE3984"/>
    <w:rsid w:val="7C070787"/>
    <w:rsid w:val="7C19668C"/>
    <w:rsid w:val="7C276ABD"/>
    <w:rsid w:val="7C312C50"/>
    <w:rsid w:val="7C367925"/>
    <w:rsid w:val="7C371C0F"/>
    <w:rsid w:val="7C374CF9"/>
    <w:rsid w:val="7C56760C"/>
    <w:rsid w:val="7C582B10"/>
    <w:rsid w:val="7C594C70"/>
    <w:rsid w:val="7C627DDE"/>
    <w:rsid w:val="7C67176E"/>
    <w:rsid w:val="7C6B3426"/>
    <w:rsid w:val="7C6C3F6E"/>
    <w:rsid w:val="7C7E6484"/>
    <w:rsid w:val="7C9032AE"/>
    <w:rsid w:val="7C99137B"/>
    <w:rsid w:val="7C9C3669"/>
    <w:rsid w:val="7CDA135A"/>
    <w:rsid w:val="7CE15122"/>
    <w:rsid w:val="7CE7227B"/>
    <w:rsid w:val="7CF77FE5"/>
    <w:rsid w:val="7CFB6BAC"/>
    <w:rsid w:val="7CFE6B21"/>
    <w:rsid w:val="7D132363"/>
    <w:rsid w:val="7D1A12A4"/>
    <w:rsid w:val="7D240F5F"/>
    <w:rsid w:val="7D312E62"/>
    <w:rsid w:val="7D38050F"/>
    <w:rsid w:val="7D5C0226"/>
    <w:rsid w:val="7D5F089E"/>
    <w:rsid w:val="7D603342"/>
    <w:rsid w:val="7D726ADF"/>
    <w:rsid w:val="7D7E28F2"/>
    <w:rsid w:val="7D7F4AF0"/>
    <w:rsid w:val="7D8F5794"/>
    <w:rsid w:val="7DA35C21"/>
    <w:rsid w:val="7DA60233"/>
    <w:rsid w:val="7DB85F4F"/>
    <w:rsid w:val="7DBF7925"/>
    <w:rsid w:val="7DF06F0E"/>
    <w:rsid w:val="7DFE66C3"/>
    <w:rsid w:val="7E22407F"/>
    <w:rsid w:val="7E233080"/>
    <w:rsid w:val="7E2658FE"/>
    <w:rsid w:val="7E3F1C43"/>
    <w:rsid w:val="7E490D14"/>
    <w:rsid w:val="7E4B7B7D"/>
    <w:rsid w:val="7E544334"/>
    <w:rsid w:val="7E7A4D36"/>
    <w:rsid w:val="7E856124"/>
    <w:rsid w:val="7E9A1DC5"/>
    <w:rsid w:val="7EA11F7A"/>
    <w:rsid w:val="7EA1710A"/>
    <w:rsid w:val="7EA32343"/>
    <w:rsid w:val="7EAB425E"/>
    <w:rsid w:val="7EAE51E2"/>
    <w:rsid w:val="7EB81375"/>
    <w:rsid w:val="7EBA6DD6"/>
    <w:rsid w:val="7EBC7D7B"/>
    <w:rsid w:val="7EE54599"/>
    <w:rsid w:val="7F142ECB"/>
    <w:rsid w:val="7F1A038D"/>
    <w:rsid w:val="7F36690E"/>
    <w:rsid w:val="7F3E5CFA"/>
    <w:rsid w:val="7F417ED7"/>
    <w:rsid w:val="7F5E5203"/>
    <w:rsid w:val="7F713C2F"/>
    <w:rsid w:val="7F741DC0"/>
    <w:rsid w:val="7FAB5EC3"/>
    <w:rsid w:val="7FB23114"/>
    <w:rsid w:val="7FB36445"/>
    <w:rsid w:val="7FBE66A4"/>
    <w:rsid w:val="7FC17629"/>
    <w:rsid w:val="7FC20D7E"/>
    <w:rsid w:val="7FCF124B"/>
    <w:rsid w:val="7FF672C5"/>
    <w:rsid w:val="EF6A326F"/>
    <w:rsid w:val="EFFBF6C4"/>
    <w:rsid w:val="FD5FD3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jc w:val="left"/>
      <w:outlineLvl w:val="0"/>
    </w:pPr>
    <w:rPr>
      <w:rFonts w:ascii="Calibri" w:hAnsi="Calibri"/>
      <w:b/>
      <w:sz w:val="28"/>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rFonts w:ascii="Calibri" w:hAnsi="Calibri"/>
      <w:b/>
      <w:bCs/>
      <w:sz w:val="32"/>
      <w:szCs w:val="32"/>
    </w:rPr>
  </w:style>
  <w:style w:type="paragraph" w:styleId="5">
    <w:name w:val="heading 4"/>
    <w:basedOn w:val="1"/>
    <w:next w:val="1"/>
    <w:qFormat/>
    <w:uiPriority w:val="0"/>
    <w:pPr>
      <w:keepNext/>
      <w:keepLines/>
      <w:spacing w:before="280" w:after="290" w:line="376" w:lineRule="auto"/>
      <w:outlineLvl w:val="3"/>
    </w:pPr>
    <w:rPr>
      <w:rFonts w:ascii="Cambria" w:hAnsi="Cambria"/>
      <w:b/>
      <w:bCs/>
      <w:sz w:val="28"/>
      <w:szCs w:val="28"/>
    </w:rPr>
  </w:style>
  <w:style w:type="character" w:default="1" w:styleId="30">
    <w:name w:val="Default Paragraph Font"/>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6">
    <w:name w:val="Normal Indent"/>
    <w:basedOn w:val="1"/>
    <w:next w:val="1"/>
    <w:link w:val="46"/>
    <w:qFormat/>
    <w:uiPriority w:val="0"/>
    <w:pPr>
      <w:ind w:firstLine="420" w:firstLineChars="200"/>
    </w:pPr>
  </w:style>
  <w:style w:type="paragraph" w:styleId="7">
    <w:name w:val="toa heading"/>
    <w:basedOn w:val="1"/>
    <w:next w:val="1"/>
    <w:qFormat/>
    <w:uiPriority w:val="0"/>
    <w:pPr>
      <w:spacing w:before="120" w:line="360" w:lineRule="auto"/>
      <w:ind w:firstLine="480" w:firstLineChars="200"/>
    </w:pPr>
    <w:rPr>
      <w:rFonts w:ascii="Cambria" w:hAnsi="Cambria"/>
    </w:rPr>
  </w:style>
  <w:style w:type="paragraph" w:styleId="8">
    <w:name w:val="annotation text"/>
    <w:basedOn w:val="1"/>
    <w:link w:val="78"/>
    <w:qFormat/>
    <w:uiPriority w:val="0"/>
    <w:pPr>
      <w:jc w:val="left"/>
    </w:pPr>
  </w:style>
  <w:style w:type="paragraph" w:styleId="9">
    <w:name w:val="Body Text"/>
    <w:basedOn w:val="1"/>
    <w:next w:val="10"/>
    <w:qFormat/>
    <w:uiPriority w:val="0"/>
    <w:rPr>
      <w:rFonts w:ascii="Arial" w:hAnsi="Arial"/>
      <w:bCs/>
      <w:sz w:val="24"/>
    </w:rPr>
  </w:style>
  <w:style w:type="paragraph" w:styleId="10">
    <w:name w:val="Body Text First Indent"/>
    <w:basedOn w:val="9"/>
    <w:next w:val="11"/>
    <w:link w:val="45"/>
    <w:unhideWhenUsed/>
    <w:qFormat/>
    <w:uiPriority w:val="0"/>
    <w:pPr>
      <w:spacing w:after="120"/>
      <w:ind w:firstLine="420" w:firstLineChars="100"/>
    </w:pPr>
    <w:rPr>
      <w:rFonts w:ascii="Calibri" w:hAnsi="Calibri"/>
      <w:sz w:val="21"/>
      <w:szCs w:val="22"/>
    </w:rPr>
  </w:style>
  <w:style w:type="paragraph" w:styleId="11">
    <w:name w:val="toc 6"/>
    <w:basedOn w:val="1"/>
    <w:next w:val="1"/>
    <w:qFormat/>
    <w:uiPriority w:val="0"/>
    <w:pPr>
      <w:ind w:left="1400"/>
    </w:pPr>
    <w:rPr>
      <w:rFonts w:ascii="Calibri"/>
      <w:sz w:val="18"/>
      <w:szCs w:val="18"/>
    </w:rPr>
  </w:style>
  <w:style w:type="paragraph" w:styleId="12">
    <w:name w:val="Body Text Indent"/>
    <w:basedOn w:val="1"/>
    <w:qFormat/>
    <w:uiPriority w:val="0"/>
    <w:pPr>
      <w:spacing w:after="120"/>
      <w:ind w:left="420" w:leftChars="200"/>
    </w:pPr>
  </w:style>
  <w:style w:type="paragraph" w:styleId="13">
    <w:name w:val="Block Text"/>
    <w:basedOn w:val="1"/>
    <w:qFormat/>
    <w:uiPriority w:val="0"/>
    <w:pPr>
      <w:spacing w:before="156" w:beforeLines="50" w:after="156" w:afterLines="50"/>
      <w:ind w:left="426" w:right="-11" w:hanging="426" w:hangingChars="203"/>
    </w:pPr>
    <w:rPr>
      <w:rFonts w:eastAsia="楷体_GB2312"/>
    </w:rPr>
  </w:style>
  <w:style w:type="paragraph" w:styleId="14">
    <w:name w:val="Plain Text"/>
    <w:basedOn w:val="1"/>
    <w:next w:val="1"/>
    <w:qFormat/>
    <w:uiPriority w:val="0"/>
    <w:rPr>
      <w:rFonts w:ascii="宋体" w:hAnsi="Courier New"/>
      <w:szCs w:val="20"/>
    </w:rPr>
  </w:style>
  <w:style w:type="paragraph" w:styleId="15">
    <w:name w:val="Date"/>
    <w:basedOn w:val="1"/>
    <w:next w:val="1"/>
    <w:qFormat/>
    <w:uiPriority w:val="0"/>
    <w:pPr>
      <w:ind w:left="100" w:leftChars="2500"/>
    </w:pPr>
    <w:rPr>
      <w:color w:val="000000"/>
      <w:sz w:val="24"/>
    </w:rPr>
  </w:style>
  <w:style w:type="paragraph" w:styleId="16">
    <w:name w:val="Body Text Indent 2"/>
    <w:basedOn w:val="1"/>
    <w:qFormat/>
    <w:uiPriority w:val="0"/>
    <w:pPr>
      <w:widowControl/>
      <w:spacing w:line="480" w:lineRule="atLeast"/>
      <w:ind w:firstLine="480"/>
    </w:pPr>
    <w:rPr>
      <w:rFonts w:ascii="宋体"/>
      <w:kern w:val="0"/>
      <w:sz w:val="24"/>
      <w:szCs w:val="20"/>
    </w:rPr>
  </w:style>
  <w:style w:type="paragraph" w:styleId="17">
    <w:name w:val="Balloon Text"/>
    <w:basedOn w:val="1"/>
    <w:link w:val="47"/>
    <w:qFormat/>
    <w:uiPriority w:val="0"/>
    <w:rPr>
      <w:sz w:val="18"/>
      <w:szCs w:val="18"/>
    </w:rPr>
  </w:style>
  <w:style w:type="paragraph" w:styleId="18">
    <w:name w:val="footer"/>
    <w:basedOn w:val="1"/>
    <w:qFormat/>
    <w:uiPriority w:val="0"/>
    <w:pPr>
      <w:tabs>
        <w:tab w:val="center" w:pos="4153"/>
        <w:tab w:val="right" w:pos="8306"/>
      </w:tabs>
      <w:snapToGrid w:val="0"/>
      <w:jc w:val="left"/>
    </w:pPr>
    <w:rPr>
      <w:sz w:val="18"/>
      <w:szCs w:val="18"/>
    </w:rPr>
  </w:style>
  <w:style w:type="paragraph" w:styleId="1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0"/>
    <w:rPr>
      <w:szCs w:val="20"/>
    </w:rPr>
  </w:style>
  <w:style w:type="paragraph" w:styleId="21">
    <w:name w:val="Body Text Indent 3"/>
    <w:basedOn w:val="1"/>
    <w:qFormat/>
    <w:uiPriority w:val="0"/>
    <w:pPr>
      <w:autoSpaceDE w:val="0"/>
      <w:autoSpaceDN w:val="0"/>
      <w:spacing w:line="400" w:lineRule="atLeast"/>
      <w:ind w:firstLine="443" w:firstLineChars="200"/>
      <w:textAlignment w:val="bottom"/>
    </w:pPr>
    <w:rPr>
      <w:rFonts w:eastAsia="黑体"/>
      <w:color w:val="000000"/>
      <w:sz w:val="24"/>
    </w:rPr>
  </w:style>
  <w:style w:type="paragraph" w:styleId="22">
    <w:name w:val="toc 2"/>
    <w:basedOn w:val="1"/>
    <w:next w:val="1"/>
    <w:qFormat/>
    <w:uiPriority w:val="0"/>
    <w:pPr>
      <w:ind w:left="420" w:leftChars="200"/>
    </w:pPr>
    <w:rPr>
      <w:szCs w:val="20"/>
    </w:rPr>
  </w:style>
  <w:style w:type="paragraph" w:styleId="23">
    <w:name w:val="Body Text 2"/>
    <w:basedOn w:val="1"/>
    <w:next w:val="9"/>
    <w:qFormat/>
    <w:uiPriority w:val="0"/>
  </w:style>
  <w:style w:type="paragraph" w:styleId="24">
    <w:name w:val="Normal (Web)"/>
    <w:basedOn w:val="1"/>
    <w:qFormat/>
    <w:uiPriority w:val="99"/>
    <w:pPr>
      <w:widowControl/>
      <w:spacing w:before="100" w:beforeAutospacing="1" w:after="100" w:afterAutospacing="1"/>
      <w:jc w:val="left"/>
    </w:pPr>
    <w:rPr>
      <w:rFonts w:ascii="Arial" w:hAnsi="Arial" w:cs="Arial"/>
      <w:color w:val="000000"/>
      <w:kern w:val="0"/>
      <w:sz w:val="18"/>
      <w:szCs w:val="18"/>
    </w:rPr>
  </w:style>
  <w:style w:type="paragraph" w:styleId="25">
    <w:name w:val="Title"/>
    <w:basedOn w:val="1"/>
    <w:next w:val="1"/>
    <w:qFormat/>
    <w:uiPriority w:val="0"/>
    <w:pPr>
      <w:spacing w:before="240" w:after="60" w:line="460" w:lineRule="exact"/>
      <w:jc w:val="center"/>
      <w:outlineLvl w:val="0"/>
    </w:pPr>
    <w:rPr>
      <w:rFonts w:ascii="Arial" w:hAnsi="Arial"/>
      <w:b/>
      <w:spacing w:val="14"/>
      <w:kern w:val="24"/>
      <w:sz w:val="32"/>
      <w:szCs w:val="20"/>
    </w:rPr>
  </w:style>
  <w:style w:type="paragraph" w:styleId="26">
    <w:name w:val="annotation subject"/>
    <w:basedOn w:val="8"/>
    <w:next w:val="8"/>
    <w:link w:val="79"/>
    <w:qFormat/>
    <w:uiPriority w:val="0"/>
    <w:rPr>
      <w:b/>
      <w:bCs/>
    </w:rPr>
  </w:style>
  <w:style w:type="paragraph" w:styleId="27">
    <w:name w:val="Body Text First Indent 2"/>
    <w:basedOn w:val="12"/>
    <w:qFormat/>
    <w:uiPriority w:val="0"/>
    <w:pPr>
      <w:spacing w:after="0"/>
      <w:ind w:firstLine="420" w:firstLineChars="200"/>
    </w:pPr>
  </w:style>
  <w:style w:type="table" w:styleId="29">
    <w:name w:val="Table Grid"/>
    <w:basedOn w:val="2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qFormat/>
    <w:uiPriority w:val="0"/>
    <w:rPr>
      <w:b/>
      <w:bCs/>
    </w:rPr>
  </w:style>
  <w:style w:type="character" w:styleId="32">
    <w:name w:val="page number"/>
    <w:qFormat/>
    <w:uiPriority w:val="0"/>
  </w:style>
  <w:style w:type="character" w:styleId="33">
    <w:name w:val="FollowedHyperlink"/>
    <w:qFormat/>
    <w:uiPriority w:val="0"/>
    <w:rPr>
      <w:color w:val="4A4A4A"/>
      <w:u w:val="none"/>
    </w:rPr>
  </w:style>
  <w:style w:type="character" w:styleId="34">
    <w:name w:val="Emphasis"/>
    <w:qFormat/>
    <w:uiPriority w:val="0"/>
  </w:style>
  <w:style w:type="character" w:styleId="35">
    <w:name w:val="HTML Definition"/>
    <w:qFormat/>
    <w:uiPriority w:val="0"/>
  </w:style>
  <w:style w:type="character" w:styleId="36">
    <w:name w:val="HTML Typewriter"/>
    <w:qFormat/>
    <w:uiPriority w:val="0"/>
    <w:rPr>
      <w:rFonts w:hint="default" w:ascii="monospace" w:hAnsi="monospace" w:eastAsia="monospace" w:cs="monospace"/>
      <w:sz w:val="20"/>
    </w:rPr>
  </w:style>
  <w:style w:type="character" w:styleId="37">
    <w:name w:val="HTML Acronym"/>
    <w:qFormat/>
    <w:uiPriority w:val="0"/>
  </w:style>
  <w:style w:type="character" w:styleId="38">
    <w:name w:val="HTML Variable"/>
    <w:qFormat/>
    <w:uiPriority w:val="0"/>
  </w:style>
  <w:style w:type="character" w:styleId="39">
    <w:name w:val="Hyperlink"/>
    <w:qFormat/>
    <w:uiPriority w:val="0"/>
    <w:rPr>
      <w:color w:val="0000FF"/>
      <w:u w:val="single"/>
    </w:rPr>
  </w:style>
  <w:style w:type="character" w:styleId="40">
    <w:name w:val="HTML Code"/>
    <w:qFormat/>
    <w:uiPriority w:val="0"/>
    <w:rPr>
      <w:rFonts w:hint="default" w:ascii="monospace" w:hAnsi="monospace" w:eastAsia="monospace" w:cs="monospace"/>
      <w:sz w:val="20"/>
    </w:rPr>
  </w:style>
  <w:style w:type="character" w:styleId="41">
    <w:name w:val="annotation reference"/>
    <w:qFormat/>
    <w:uiPriority w:val="0"/>
    <w:rPr>
      <w:sz w:val="21"/>
      <w:szCs w:val="21"/>
    </w:rPr>
  </w:style>
  <w:style w:type="character" w:styleId="42">
    <w:name w:val="HTML Cite"/>
    <w:qFormat/>
    <w:uiPriority w:val="0"/>
  </w:style>
  <w:style w:type="character" w:styleId="43">
    <w:name w:val="HTML Keyboard"/>
    <w:qFormat/>
    <w:uiPriority w:val="0"/>
    <w:rPr>
      <w:rFonts w:ascii="monospace" w:hAnsi="monospace" w:eastAsia="monospace" w:cs="monospace"/>
      <w:sz w:val="20"/>
    </w:rPr>
  </w:style>
  <w:style w:type="character" w:styleId="44">
    <w:name w:val="HTML Sample"/>
    <w:qFormat/>
    <w:uiPriority w:val="0"/>
    <w:rPr>
      <w:rFonts w:hint="default" w:ascii="monospace" w:hAnsi="monospace" w:eastAsia="monospace" w:cs="monospace"/>
    </w:rPr>
  </w:style>
  <w:style w:type="character" w:customStyle="1" w:styleId="45">
    <w:name w:val="正文文本首行缩进 字符"/>
    <w:link w:val="10"/>
    <w:qFormat/>
    <w:uiPriority w:val="0"/>
    <w:rPr>
      <w:rFonts w:ascii="Calibri" w:hAnsi="Calibri"/>
      <w:bCs/>
      <w:kern w:val="2"/>
      <w:sz w:val="21"/>
      <w:szCs w:val="22"/>
    </w:rPr>
  </w:style>
  <w:style w:type="character" w:customStyle="1" w:styleId="46">
    <w:name w:val="正文缩进 字符"/>
    <w:link w:val="6"/>
    <w:qFormat/>
    <w:uiPriority w:val="0"/>
    <w:rPr>
      <w:kern w:val="2"/>
      <w:sz w:val="21"/>
      <w:szCs w:val="24"/>
    </w:rPr>
  </w:style>
  <w:style w:type="character" w:customStyle="1" w:styleId="47">
    <w:name w:val="批注框文本 字符"/>
    <w:link w:val="17"/>
    <w:qFormat/>
    <w:uiPriority w:val="0"/>
    <w:rPr>
      <w:kern w:val="2"/>
      <w:sz w:val="18"/>
      <w:szCs w:val="18"/>
    </w:rPr>
  </w:style>
  <w:style w:type="character" w:customStyle="1" w:styleId="48">
    <w:name w:val="font01"/>
    <w:qFormat/>
    <w:uiPriority w:val="0"/>
    <w:rPr>
      <w:rFonts w:hint="eastAsia" w:ascii="宋体" w:hAnsi="宋体" w:eastAsia="宋体" w:cs="宋体"/>
      <w:color w:val="000000"/>
      <w:sz w:val="21"/>
      <w:szCs w:val="21"/>
      <w:u w:val="none"/>
    </w:rPr>
  </w:style>
  <w:style w:type="character" w:customStyle="1" w:styleId="49">
    <w:name w:val="font41"/>
    <w:qFormat/>
    <w:uiPriority w:val="0"/>
    <w:rPr>
      <w:rFonts w:hint="eastAsia" w:ascii="宋体" w:hAnsi="宋体" w:eastAsia="宋体" w:cs="宋体"/>
      <w:color w:val="000000"/>
      <w:sz w:val="22"/>
      <w:szCs w:val="22"/>
      <w:u w:val="none"/>
    </w:rPr>
  </w:style>
  <w:style w:type="character" w:customStyle="1" w:styleId="50">
    <w:name w:val="NormalCharacter"/>
    <w:qFormat/>
    <w:uiPriority w:val="0"/>
  </w:style>
  <w:style w:type="character" w:customStyle="1" w:styleId="51">
    <w:name w:val="font21"/>
    <w:qFormat/>
    <w:uiPriority w:val="0"/>
    <w:rPr>
      <w:rFonts w:ascii="Calibri" w:hAnsi="Calibri" w:cs="Calibri"/>
      <w:color w:val="000000"/>
      <w:sz w:val="22"/>
      <w:szCs w:val="22"/>
      <w:u w:val="none"/>
    </w:rPr>
  </w:style>
  <w:style w:type="character" w:customStyle="1" w:styleId="52">
    <w:name w:val="font11"/>
    <w:qFormat/>
    <w:uiPriority w:val="0"/>
    <w:rPr>
      <w:rFonts w:ascii="Calibri" w:hAnsi="Calibri" w:cs="Calibri"/>
      <w:color w:val="000000"/>
      <w:sz w:val="21"/>
      <w:szCs w:val="21"/>
      <w:u w:val="none"/>
    </w:rPr>
  </w:style>
  <w:style w:type="character" w:customStyle="1" w:styleId="53">
    <w:name w:val="font31"/>
    <w:basedOn w:val="30"/>
    <w:qFormat/>
    <w:uiPriority w:val="0"/>
    <w:rPr>
      <w:rFonts w:hint="eastAsia" w:ascii="等线" w:hAnsi="等线" w:eastAsia="等线" w:cs="等线"/>
      <w:color w:val="000000"/>
      <w:sz w:val="22"/>
      <w:szCs w:val="22"/>
      <w:u w:val="none"/>
    </w:rPr>
  </w:style>
  <w:style w:type="paragraph" w:customStyle="1" w:styleId="54">
    <w:name w:val="纯文本1"/>
    <w:qFormat/>
    <w:uiPriority w:val="0"/>
    <w:rPr>
      <w:rFonts w:hint="eastAsia" w:ascii="宋体" w:hAnsi="Courier New" w:eastAsia="宋体" w:cs="Times New Roman"/>
      <w:kern w:val="2"/>
      <w:sz w:val="21"/>
      <w:lang w:val="en-US" w:eastAsia="zh-CN" w:bidi="ar-SA"/>
    </w:rPr>
  </w:style>
  <w:style w:type="paragraph" w:customStyle="1" w:styleId="55">
    <w:name w:val="Default"/>
    <w:basedOn w:val="1"/>
    <w:qFormat/>
    <w:uiPriority w:val="0"/>
    <w:pPr>
      <w:autoSpaceDE w:val="0"/>
      <w:autoSpaceDN w:val="0"/>
      <w:adjustRightInd w:val="0"/>
      <w:jc w:val="left"/>
    </w:pPr>
    <w:rPr>
      <w:rFonts w:ascii="宋体" w:hAnsi="宋体" w:cs="宋体"/>
      <w:color w:val="000000"/>
      <w:kern w:val="0"/>
      <w:sz w:val="24"/>
    </w:rPr>
  </w:style>
  <w:style w:type="paragraph" w:customStyle="1" w:styleId="56">
    <w:name w:val="表格文字"/>
    <w:basedOn w:val="14"/>
    <w:next w:val="9"/>
    <w:qFormat/>
    <w:uiPriority w:val="0"/>
    <w:pPr>
      <w:adjustRightInd w:val="0"/>
      <w:spacing w:line="420" w:lineRule="atLeast"/>
      <w:jc w:val="left"/>
      <w:textAlignment w:val="baseline"/>
    </w:pPr>
    <w:rPr>
      <w:rFonts w:ascii="Times New Roman" w:hAnsi="Times New Roman"/>
      <w:kern w:val="0"/>
      <w:szCs w:val="24"/>
    </w:rPr>
  </w:style>
  <w:style w:type="paragraph" w:customStyle="1" w:styleId="57">
    <w:name w:val="BodyText"/>
    <w:basedOn w:val="1"/>
    <w:next w:val="58"/>
    <w:qFormat/>
    <w:uiPriority w:val="0"/>
    <w:pPr>
      <w:spacing w:after="120"/>
    </w:pPr>
  </w:style>
  <w:style w:type="paragraph" w:customStyle="1" w:styleId="58">
    <w:name w:val="BodyText1I"/>
    <w:basedOn w:val="57"/>
    <w:qFormat/>
    <w:uiPriority w:val="0"/>
    <w:pPr>
      <w:ind w:firstLine="420" w:firstLineChars="100"/>
      <w:jc w:val="left"/>
    </w:pPr>
    <w:rPr>
      <w:kern w:val="0"/>
      <w:sz w:val="20"/>
      <w:szCs w:val="20"/>
    </w:rPr>
  </w:style>
  <w:style w:type="paragraph" w:customStyle="1" w:styleId="59">
    <w:name w:val="表内文字"/>
    <w:basedOn w:val="1"/>
    <w:qFormat/>
    <w:uiPriority w:val="0"/>
    <w:pPr>
      <w:spacing w:line="500" w:lineRule="atLeast"/>
      <w:jc w:val="center"/>
    </w:pPr>
    <w:rPr>
      <w:rFonts w:ascii="Arial" w:hAnsi="Arial" w:eastAsia="楷体_GB2312" w:cs="Arial"/>
      <w:sz w:val="28"/>
    </w:rPr>
  </w:style>
  <w:style w:type="paragraph" w:customStyle="1" w:styleId="60">
    <w:name w:val="BodyText1I2"/>
    <w:basedOn w:val="61"/>
    <w:qFormat/>
    <w:uiPriority w:val="0"/>
    <w:pPr>
      <w:ind w:firstLine="420" w:firstLineChars="200"/>
    </w:pPr>
  </w:style>
  <w:style w:type="paragraph" w:customStyle="1" w:styleId="61">
    <w:name w:val="BodyTextIndent"/>
    <w:basedOn w:val="1"/>
    <w:qFormat/>
    <w:uiPriority w:val="0"/>
    <w:pPr>
      <w:spacing w:after="120"/>
      <w:ind w:left="420" w:leftChars="200"/>
      <w:textAlignment w:val="baseline"/>
    </w:pPr>
    <w:rPr>
      <w:color w:val="000000"/>
    </w:rPr>
  </w:style>
  <w:style w:type="paragraph" w:customStyle="1" w:styleId="62">
    <w:name w:val="WPSOffice手动目录 1"/>
    <w:qFormat/>
    <w:uiPriority w:val="0"/>
    <w:rPr>
      <w:rFonts w:ascii="Times New Roman" w:hAnsi="Times New Roman" w:eastAsia="宋体" w:cs="Times New Roman"/>
      <w:lang w:val="en-US" w:eastAsia="zh-CN" w:bidi="ar-SA"/>
    </w:rPr>
  </w:style>
  <w:style w:type="paragraph" w:customStyle="1" w:styleId="63">
    <w:name w:val="zw1"/>
    <w:basedOn w:val="1"/>
    <w:qFormat/>
    <w:uiPriority w:val="0"/>
    <w:pPr>
      <w:spacing w:line="360" w:lineRule="auto"/>
      <w:ind w:firstLine="560" w:firstLineChars="200"/>
    </w:pPr>
    <w:rPr>
      <w:sz w:val="28"/>
      <w:szCs w:val="20"/>
    </w:rPr>
  </w:style>
  <w:style w:type="paragraph" w:customStyle="1" w:styleId="64">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b/>
      <w:bCs/>
      <w:kern w:val="0"/>
      <w:sz w:val="28"/>
      <w:szCs w:val="28"/>
    </w:rPr>
  </w:style>
  <w:style w:type="paragraph" w:customStyle="1" w:styleId="65">
    <w:name w:val="Table Paragraph"/>
    <w:basedOn w:val="1"/>
    <w:qFormat/>
    <w:uiPriority w:val="1"/>
    <w:rPr>
      <w:rFonts w:ascii="宋体" w:hAnsi="宋体" w:cs="宋体"/>
      <w:lang w:val="zh-CN" w:bidi="zh-CN"/>
    </w:rPr>
  </w:style>
  <w:style w:type="paragraph" w:customStyle="1" w:styleId="66">
    <w:name w:val="正文缩进2"/>
    <w:basedOn w:val="1"/>
    <w:next w:val="1"/>
    <w:qFormat/>
    <w:uiPriority w:val="0"/>
    <w:pPr>
      <w:spacing w:line="500" w:lineRule="exact"/>
      <w:ind w:firstLine="567"/>
    </w:pPr>
    <w:rPr>
      <w:sz w:val="24"/>
      <w:szCs w:val="20"/>
    </w:rPr>
  </w:style>
  <w:style w:type="paragraph" w:customStyle="1" w:styleId="67">
    <w:name w:val="列出段落1"/>
    <w:basedOn w:val="1"/>
    <w:qFormat/>
    <w:uiPriority w:val="0"/>
    <w:pPr>
      <w:ind w:firstLine="420" w:firstLineChars="200"/>
    </w:pPr>
    <w:rPr>
      <w:rFonts w:cs="Arial"/>
    </w:rPr>
  </w:style>
  <w:style w:type="paragraph" w:styleId="68">
    <w:name w:val="List Paragraph"/>
    <w:basedOn w:val="1"/>
    <w:qFormat/>
    <w:uiPriority w:val="0"/>
    <w:pPr>
      <w:ind w:firstLine="420" w:firstLineChars="200"/>
    </w:pPr>
    <w:rPr>
      <w:rFonts w:ascii="Calibri" w:hAnsi="Calibri"/>
      <w:szCs w:val="22"/>
    </w:rPr>
  </w:style>
  <w:style w:type="paragraph" w:customStyle="1" w:styleId="69">
    <w:name w:val="1"/>
    <w:basedOn w:val="1"/>
    <w:next w:val="10"/>
    <w:qFormat/>
    <w:uiPriority w:val="0"/>
  </w:style>
  <w:style w:type="paragraph" w:customStyle="1" w:styleId="70">
    <w:name w:val="Body text|1"/>
    <w:basedOn w:val="1"/>
    <w:qFormat/>
    <w:uiPriority w:val="0"/>
    <w:pPr>
      <w:spacing w:after="100"/>
    </w:pPr>
    <w:rPr>
      <w:rFonts w:ascii="宋体" w:hAnsi="宋体" w:cs="宋体"/>
      <w:sz w:val="22"/>
      <w:szCs w:val="22"/>
      <w:lang w:val="zh-TW" w:eastAsia="zh-TW" w:bidi="zh-TW"/>
    </w:rPr>
  </w:style>
  <w:style w:type="paragraph" w:customStyle="1" w:styleId="71">
    <w:name w:val="xl55"/>
    <w:basedOn w:val="1"/>
    <w:qFormat/>
    <w:uiPriority w:val="0"/>
    <w:pPr>
      <w:widowControl/>
      <w:spacing w:before="100" w:beforeAutospacing="1" w:after="100" w:afterAutospacing="1"/>
      <w:jc w:val="center"/>
      <w:textAlignment w:val="center"/>
    </w:pPr>
    <w:rPr>
      <w:rFonts w:ascii="Arial Unicode MS" w:hAnsi="Arial Unicode MS"/>
      <w:kern w:val="0"/>
      <w:sz w:val="24"/>
    </w:rPr>
  </w:style>
  <w:style w:type="paragraph" w:customStyle="1" w:styleId="72">
    <w:name w:val="正文1"/>
    <w:qFormat/>
    <w:uiPriority w:val="0"/>
    <w:pPr>
      <w:widowControl w:val="0"/>
      <w:jc w:val="both"/>
    </w:pPr>
    <w:rPr>
      <w:rFonts w:hint="eastAsia" w:ascii="Times New Roman" w:hAnsi="Times New Roman" w:eastAsia="宋体" w:cs="Times New Roman"/>
      <w:kern w:val="2"/>
      <w:sz w:val="21"/>
      <w:lang w:val="en-US" w:eastAsia="zh-CN" w:bidi="ar-SA"/>
    </w:rPr>
  </w:style>
  <w:style w:type="paragraph" w:customStyle="1" w:styleId="73">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74">
    <w:name w:val="正文首行缩进 21"/>
    <w:basedOn w:val="75"/>
    <w:qFormat/>
    <w:uiPriority w:val="0"/>
    <w:pPr>
      <w:ind w:firstLine="420"/>
    </w:pPr>
    <w:rPr>
      <w:rFonts w:cs="宋体"/>
      <w:color w:val="000000"/>
      <w:sz w:val="21"/>
    </w:rPr>
  </w:style>
  <w:style w:type="paragraph" w:customStyle="1" w:styleId="75">
    <w:name w:val="正文文本缩进1"/>
    <w:basedOn w:val="1"/>
    <w:qFormat/>
    <w:uiPriority w:val="0"/>
    <w:pPr>
      <w:spacing w:after="120"/>
      <w:ind w:left="420" w:leftChars="200"/>
    </w:pPr>
    <w:rPr>
      <w:sz w:val="20"/>
      <w:szCs w:val="21"/>
    </w:rPr>
  </w:style>
  <w:style w:type="paragraph" w:customStyle="1" w:styleId="76">
    <w:name w:val="列表段落2"/>
    <w:basedOn w:val="1"/>
    <w:qFormat/>
    <w:uiPriority w:val="34"/>
    <w:pPr>
      <w:ind w:firstLine="420" w:firstLineChars="200"/>
    </w:pPr>
  </w:style>
  <w:style w:type="paragraph" w:customStyle="1" w:styleId="77">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78">
    <w:name w:val="批注文字 字符"/>
    <w:basedOn w:val="30"/>
    <w:link w:val="8"/>
    <w:qFormat/>
    <w:uiPriority w:val="0"/>
    <w:rPr>
      <w:kern w:val="2"/>
      <w:sz w:val="21"/>
      <w:szCs w:val="24"/>
    </w:rPr>
  </w:style>
  <w:style w:type="character" w:customStyle="1" w:styleId="79">
    <w:name w:val="批注主题 字符"/>
    <w:basedOn w:val="78"/>
    <w:link w:val="26"/>
    <w:qFormat/>
    <w:uiPriority w:val="0"/>
    <w:rPr>
      <w:b/>
      <w:bCs/>
      <w:kern w:val="2"/>
      <w:sz w:val="21"/>
      <w:szCs w:val="24"/>
    </w:rPr>
  </w:style>
  <w:style w:type="paragraph" w:customStyle="1" w:styleId="80">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81">
    <w:name w:val="正文文本_4"/>
    <w:next w:val="82"/>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customStyle="1" w:styleId="82">
    <w:name w:val="正文首行缩进_4"/>
    <w:next w:val="83"/>
    <w:qFormat/>
    <w:uiPriority w:val="0"/>
    <w:pPr>
      <w:widowControl w:val="0"/>
      <w:spacing w:after="120"/>
      <w:ind w:firstLine="420" w:firstLineChars="100"/>
      <w:jc w:val="both"/>
    </w:pPr>
    <w:rPr>
      <w:rFonts w:ascii="Times New Roman" w:hAnsi="Times New Roman" w:eastAsia="宋体" w:cs="Times New Roman"/>
      <w:kern w:val="2"/>
      <w:sz w:val="21"/>
      <w:szCs w:val="24"/>
      <w:lang w:val="en-US" w:eastAsia="zh-CN" w:bidi="ar-SA"/>
    </w:rPr>
  </w:style>
  <w:style w:type="paragraph" w:customStyle="1" w:styleId="83">
    <w:name w:val="目录 6_4"/>
    <w:next w:val="84"/>
    <w:qFormat/>
    <w:uiPriority w:val="39"/>
    <w:pPr>
      <w:widowControl w:val="0"/>
      <w:ind w:left="1050"/>
      <w:jc w:val="left"/>
    </w:pPr>
    <w:rPr>
      <w:rFonts w:ascii="Calibri" w:hAnsi="Calibri" w:eastAsia="宋体" w:cs="Times New Roman"/>
      <w:kern w:val="2"/>
      <w:sz w:val="21"/>
      <w:szCs w:val="21"/>
      <w:lang w:val="en-US" w:eastAsia="zh-CN" w:bidi="ar-SA"/>
    </w:rPr>
  </w:style>
  <w:style w:type="paragraph" w:customStyle="1" w:styleId="84">
    <w:name w:val="正文_6"/>
    <w:next w:val="81"/>
    <w:qFormat/>
    <w:uiPriority w:val="0"/>
    <w:pPr>
      <w:widowControl w:val="0"/>
      <w:jc w:val="both"/>
    </w:pPr>
    <w:rPr>
      <w:rFonts w:ascii="Calibri" w:hAnsi="Calibri" w:eastAsia="宋体" w:cs="Times New Roman"/>
      <w:kern w:val="2"/>
      <w:sz w:val="21"/>
      <w:szCs w:val="22"/>
      <w:lang w:val="en-US" w:eastAsia="zh-CN" w:bidi="ar-SA"/>
    </w:rPr>
  </w:style>
  <w:style w:type="paragraph" w:customStyle="1" w:styleId="85">
    <w:name w:val="正文段"/>
    <w:qFormat/>
    <w:uiPriority w:val="0"/>
    <w:pPr>
      <w:widowControl/>
      <w:adjustRightInd w:val="0"/>
      <w:snapToGrid w:val="0"/>
      <w:spacing w:afterLines="50"/>
      <w:ind w:firstLine="200" w:firstLineChars="200"/>
      <w:jc w:val="both"/>
    </w:pPr>
    <w:rPr>
      <w:rFonts w:ascii="Times New Roman" w:hAnsi="Times New Roman" w:eastAsia="宋体" w:cs="Times New Roman"/>
      <w:kern w:val="0"/>
      <w:sz w:val="24"/>
      <w:szCs w:val="20"/>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60</Pages>
  <Words>3807</Words>
  <Characters>4463</Characters>
  <Lines>299</Lines>
  <Paragraphs>84</Paragraphs>
  <TotalTime>60</TotalTime>
  <ScaleCrop>false</ScaleCrop>
  <LinksUpToDate>false</LinksUpToDate>
  <CharactersWithSpaces>4507</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2024-12-28T11:31:00Z</dcterms:created>
  <dc:creator>Arthur</dc:creator>
  <cp:lastModifiedBy>Lic</cp:lastModifiedBy>
  <cp:lastPrinted>2026-06-08T05:38:32Z</cp:lastPrinted>
  <dcterms:modified xsi:type="dcterms:W3CDTF">2026-06-08T05:41:26Z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F90DE62F074B40FABFFA4CB4208543AA_13</vt:lpwstr>
  </property>
  <property fmtid="{D5CDD505-2E9C-101B-9397-08002B2CF9AE}" pid="4" name="KSOTemplateDocerSaveRecord">
    <vt:lpwstr>eyJoZGlkIjoiNGFmZmRjYjgwN2RjZDAzODQwYzhlZjUzOTkzMTQ4N2YiLCJ1c2VySWQiOiIyMzI1NzQzNDQifQ==</vt:lpwstr>
  </property>
</Properties>
</file>