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-334" w:rightChars="-159" w:firstLine="197" w:firstLineChars="49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定标理由公示</w:t>
      </w:r>
    </w:p>
    <w:tbl>
      <w:tblPr>
        <w:tblStyle w:val="7"/>
        <w:tblW w:w="1360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4394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76" w:type="dxa"/>
          </w:tcPr>
          <w:p>
            <w:pPr>
              <w:spacing w:line="520" w:lineRule="exact"/>
              <w:ind w:right="-334" w:rightChars="-159"/>
              <w:rPr>
                <w:sz w:val="24"/>
              </w:rPr>
            </w:pPr>
            <w:r>
              <w:rPr>
                <w:rFonts w:hint="eastAsia"/>
                <w:sz w:val="24"/>
              </w:rPr>
              <w:t>定标成员</w:t>
            </w:r>
          </w:p>
        </w:tc>
        <w:tc>
          <w:tcPr>
            <w:tcW w:w="4394" w:type="dxa"/>
            <w:vAlign w:val="center"/>
          </w:tcPr>
          <w:p>
            <w:pPr>
              <w:spacing w:line="52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中标候选人名称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推荐理由及说明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76" w:type="dxa"/>
          </w:tcPr>
          <w:p>
            <w:pPr>
              <w:widowControl/>
              <w:jc w:val="both"/>
              <w:textAlignment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成员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投标价格低、得分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高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、类似业绩多。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成员2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报价最低、评分高、2022年税收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三家中最高、业绩丰富。获得荣誉较好。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成员3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投标价格低、类似业绩多、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获奖情况多。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成员4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类似业绩多。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成员5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按定标方法，税收程度，投标价格低。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成员6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泛华建设集团有限公司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该企业一年税收最多，类似工程和荣誉较好，综合考虑推荐该企业。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276" w:type="dxa"/>
          </w:tcPr>
          <w:p>
            <w:r>
              <w:rPr>
                <w:rFonts w:hint="eastAsia"/>
                <w:sz w:val="24"/>
              </w:rPr>
              <w:t>成员7</w:t>
            </w:r>
          </w:p>
        </w:tc>
        <w:tc>
          <w:tcPr>
            <w:tcW w:w="43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大连市市政设计研究院有限责任公司</w:t>
            </w:r>
          </w:p>
        </w:tc>
        <w:tc>
          <w:tcPr>
            <w:tcW w:w="7229" w:type="dxa"/>
            <w:vAlign w:val="center"/>
          </w:tcPr>
          <w:p>
            <w:pPr>
              <w:spacing w:line="520" w:lineRule="exact"/>
              <w:ind w:right="-334" w:rightChars="-159"/>
              <w:jc w:val="both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设计工作思路、难点分析</w:t>
            </w:r>
            <w:bookmarkStart w:id="0" w:name="_GoBack"/>
            <w:bookmarkEnd w:id="0"/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明确合理，业绩好。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UwNDJlNzMxN2VkODMyMzhhNjJmZjBiNTY2NDJmN2EifQ=="/>
    <w:docVar w:name="KSO_WPS_MARK_KEY" w:val="1a7317a9-f79c-4767-ae8f-307fd160ff27"/>
  </w:docVars>
  <w:rsids>
    <w:rsidRoot w:val="00ED270A"/>
    <w:rsid w:val="00390EF5"/>
    <w:rsid w:val="007006B8"/>
    <w:rsid w:val="009A745F"/>
    <w:rsid w:val="00A97116"/>
    <w:rsid w:val="00ED270A"/>
    <w:rsid w:val="124A4676"/>
    <w:rsid w:val="14FC7D22"/>
    <w:rsid w:val="27101133"/>
    <w:rsid w:val="27347627"/>
    <w:rsid w:val="34B3788C"/>
    <w:rsid w:val="36CB4F79"/>
    <w:rsid w:val="41776C2B"/>
    <w:rsid w:val="469061EB"/>
    <w:rsid w:val="54207F24"/>
    <w:rsid w:val="72EA5047"/>
    <w:rsid w:val="76CF41D8"/>
    <w:rsid w:val="7FD517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39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spacing w:after="120"/>
      <w:ind w:firstLine="420" w:firstLineChars="100"/>
    </w:pPr>
    <w:rPr>
      <w:rFonts w:ascii="Calibri" w:hAnsi="Calibri"/>
      <w:sz w:val="21"/>
      <w:szCs w:val="22"/>
    </w:rPr>
  </w:style>
  <w:style w:type="paragraph" w:styleId="3">
    <w:name w:val="Body Text"/>
    <w:basedOn w:val="1"/>
    <w:next w:val="2"/>
    <w:qFormat/>
    <w:uiPriority w:val="0"/>
    <w:rPr>
      <w:rFonts w:ascii="Arial" w:hAnsi="Arial"/>
      <w:bCs/>
      <w:sz w:val="24"/>
    </w:rPr>
  </w:style>
  <w:style w:type="paragraph" w:styleId="4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263</Words>
  <Characters>263</Characters>
  <Lines>25</Lines>
  <Paragraphs>25</Paragraphs>
  <TotalTime>16</TotalTime>
  <ScaleCrop>false</ScaleCrop>
  <LinksUpToDate>false</LinksUpToDate>
  <CharactersWithSpaces>263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2022-07-12T10:26:00Z</dcterms:created>
  <dc:creator>AutoBVT</dc:creator>
  <cp:lastModifiedBy>Administrator</cp:lastModifiedBy>
  <cp:lastPrinted>2023-06-13T00:34:00Z</cp:lastPrinted>
  <dcterms:modified xsi:type="dcterms:W3CDTF">2023-06-13T00:43:44Z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0F1A88CDAE914EFBA580C960DC766802</vt:lpwstr>
  </property>
</Properties>
</file>