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45" w:rsidRPr="00AE0F86" w:rsidRDefault="00B23745" w:rsidP="00B23745">
      <w:pPr>
        <w:pStyle w:val="a8"/>
        <w:adjustRightInd w:val="0"/>
        <w:snapToGrid w:val="0"/>
        <w:jc w:val="center"/>
        <w:rPr>
          <w:rFonts w:hAnsi="宋体"/>
          <w:b/>
          <w:color w:val="000000"/>
          <w:sz w:val="36"/>
          <w:szCs w:val="36"/>
        </w:rPr>
      </w:pPr>
      <w:bookmarkStart w:id="0" w:name="_GoBack"/>
      <w:bookmarkEnd w:id="0"/>
      <w:r w:rsidRPr="00AE0F86">
        <w:rPr>
          <w:rFonts w:hAnsi="宋体" w:hint="eastAsia"/>
          <w:b/>
          <w:color w:val="000000"/>
          <w:sz w:val="36"/>
          <w:szCs w:val="36"/>
        </w:rPr>
        <w:t>评标细则</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27"/>
        <w:gridCol w:w="847"/>
        <w:gridCol w:w="6064"/>
      </w:tblGrid>
      <w:tr w:rsidR="00674E0E" w:rsidRPr="00674E0E" w:rsidTr="00C321C9">
        <w:trPr>
          <w:trHeight w:val="585"/>
        </w:trPr>
        <w:tc>
          <w:tcPr>
            <w:tcW w:w="9073" w:type="dxa"/>
            <w:gridSpan w:val="4"/>
            <w:vAlign w:val="center"/>
          </w:tcPr>
          <w:p w:rsidR="00674E0E" w:rsidRPr="00674E0E" w:rsidRDefault="00674E0E" w:rsidP="00C321C9">
            <w:pPr>
              <w:pStyle w:val="a8"/>
              <w:tabs>
                <w:tab w:val="left" w:pos="5325"/>
              </w:tabs>
              <w:adjustRightInd w:val="0"/>
              <w:snapToGrid w:val="0"/>
              <w:spacing w:line="460" w:lineRule="exact"/>
              <w:rPr>
                <w:rFonts w:asciiTheme="minorEastAsia" w:eastAsiaTheme="minorEastAsia" w:hAnsiTheme="minorEastAsia"/>
                <w:b/>
                <w:bCs/>
                <w:sz w:val="22"/>
                <w:szCs w:val="22"/>
              </w:rPr>
            </w:pPr>
            <w:r w:rsidRPr="00674E0E">
              <w:rPr>
                <w:rFonts w:asciiTheme="minorEastAsia" w:eastAsiaTheme="minorEastAsia" w:hAnsiTheme="minorEastAsia" w:hint="eastAsia"/>
                <w:b/>
                <w:bCs/>
                <w:sz w:val="22"/>
                <w:szCs w:val="22"/>
                <w:u w:val="single"/>
              </w:rPr>
              <w:t>报价评分</w:t>
            </w:r>
            <w:r w:rsidRPr="00674E0E">
              <w:rPr>
                <w:rFonts w:asciiTheme="minorEastAsia" w:eastAsiaTheme="minorEastAsia" w:hAnsiTheme="minorEastAsia" w:hint="eastAsia"/>
                <w:b/>
                <w:bCs/>
                <w:sz w:val="22"/>
                <w:szCs w:val="22"/>
              </w:rPr>
              <w:t xml:space="preserve">  30分  </w:t>
            </w:r>
            <w:r w:rsidRPr="00674E0E">
              <w:rPr>
                <w:rFonts w:asciiTheme="minorEastAsia" w:eastAsiaTheme="minorEastAsia" w:hAnsiTheme="minorEastAsia"/>
                <w:b/>
                <w:bCs/>
                <w:sz w:val="22"/>
                <w:szCs w:val="22"/>
              </w:rPr>
              <w:tab/>
            </w:r>
          </w:p>
          <w:p w:rsidR="00674E0E" w:rsidRPr="00674E0E" w:rsidRDefault="00674E0E" w:rsidP="00C321C9">
            <w:pPr>
              <w:pStyle w:val="a7"/>
              <w:spacing w:after="0" w:line="460" w:lineRule="exact"/>
              <w:ind w:leftChars="0" w:left="0"/>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1）以有效投标供应商的有效投标价中的最低价为评标基准价，得满分30分。</w:t>
            </w:r>
            <w:r w:rsidRPr="00674E0E">
              <w:rPr>
                <w:rFonts w:asciiTheme="minorEastAsia" w:eastAsiaTheme="minorEastAsia" w:hAnsiTheme="minorEastAsia" w:hint="eastAsia"/>
                <w:bCs/>
                <w:sz w:val="22"/>
                <w:szCs w:val="22"/>
              </w:rPr>
              <w:t>报价评分</w:t>
            </w:r>
            <w:r w:rsidRPr="00674E0E">
              <w:rPr>
                <w:rFonts w:asciiTheme="minorEastAsia" w:eastAsiaTheme="minorEastAsia" w:hAnsiTheme="minorEastAsia" w:hint="eastAsia"/>
                <w:sz w:val="22"/>
                <w:szCs w:val="22"/>
              </w:rPr>
              <w:t>结算公式为:报价得分=(评标基准价／投标价)×30%×100；</w:t>
            </w:r>
          </w:p>
          <w:p w:rsidR="00674E0E" w:rsidRPr="00674E0E" w:rsidRDefault="00674E0E" w:rsidP="00C321C9">
            <w:pPr>
              <w:pStyle w:val="a7"/>
              <w:spacing w:after="0" w:line="460" w:lineRule="exact"/>
              <w:ind w:leftChars="0" w:left="0"/>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2）如果某些（个）供应商投标报价超出该采购最高限价，该供应商投标按无效投标处理。</w:t>
            </w:r>
          </w:p>
          <w:p w:rsidR="00674E0E" w:rsidRPr="00674E0E" w:rsidRDefault="00674E0E" w:rsidP="00C321C9">
            <w:pPr>
              <w:snapToGrid w:val="0"/>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b/>
                <w:sz w:val="22"/>
                <w:szCs w:val="22"/>
                <w:u w:val="single"/>
              </w:rPr>
              <w:t>技术、服务、资信、业绩综合评分</w:t>
            </w:r>
            <w:r w:rsidRPr="00674E0E">
              <w:rPr>
                <w:rFonts w:asciiTheme="minorEastAsia" w:eastAsiaTheme="minorEastAsia" w:hAnsiTheme="minorEastAsia" w:hint="eastAsia"/>
                <w:b/>
                <w:sz w:val="22"/>
                <w:szCs w:val="22"/>
              </w:rPr>
              <w:t xml:space="preserve"> 70分</w:t>
            </w:r>
          </w:p>
        </w:tc>
      </w:tr>
      <w:tr w:rsidR="00674E0E" w:rsidRPr="00674E0E" w:rsidTr="00C321C9">
        <w:trPr>
          <w:trHeight w:val="585"/>
        </w:trPr>
        <w:tc>
          <w:tcPr>
            <w:tcW w:w="735" w:type="dxa"/>
            <w:vAlign w:val="center"/>
          </w:tcPr>
          <w:p w:rsidR="00674E0E" w:rsidRPr="00674E0E" w:rsidRDefault="00674E0E" w:rsidP="00C321C9">
            <w:pPr>
              <w:snapToGrid w:val="0"/>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序号</w:t>
            </w:r>
          </w:p>
        </w:tc>
        <w:tc>
          <w:tcPr>
            <w:tcW w:w="1427" w:type="dxa"/>
            <w:vAlign w:val="center"/>
          </w:tcPr>
          <w:p w:rsidR="00674E0E" w:rsidRPr="00674E0E" w:rsidRDefault="00674E0E" w:rsidP="00C321C9">
            <w:pPr>
              <w:snapToGrid w:val="0"/>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评分内容</w:t>
            </w:r>
          </w:p>
        </w:tc>
        <w:tc>
          <w:tcPr>
            <w:tcW w:w="847" w:type="dxa"/>
            <w:vAlign w:val="center"/>
          </w:tcPr>
          <w:p w:rsidR="00674E0E" w:rsidRPr="00674E0E" w:rsidRDefault="00674E0E" w:rsidP="00C321C9">
            <w:pPr>
              <w:snapToGrid w:val="0"/>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分值</w:t>
            </w:r>
          </w:p>
        </w:tc>
        <w:tc>
          <w:tcPr>
            <w:tcW w:w="6064" w:type="dxa"/>
            <w:vAlign w:val="center"/>
          </w:tcPr>
          <w:p w:rsidR="00674E0E" w:rsidRPr="00674E0E" w:rsidRDefault="00674E0E" w:rsidP="00C321C9">
            <w:pPr>
              <w:snapToGrid w:val="0"/>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评审标准</w:t>
            </w:r>
          </w:p>
        </w:tc>
      </w:tr>
      <w:tr w:rsidR="00674E0E" w:rsidRPr="00674E0E" w:rsidTr="00C321C9">
        <w:trPr>
          <w:trHeight w:val="585"/>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投标供应商情况</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8分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1、供应商具有有效的</w:t>
            </w:r>
            <w:r w:rsidRPr="00674E0E">
              <w:rPr>
                <w:rFonts w:asciiTheme="minorEastAsia" w:eastAsiaTheme="minorEastAsia" w:hAnsiTheme="minorEastAsia"/>
                <w:sz w:val="22"/>
                <w:szCs w:val="22"/>
              </w:rPr>
              <w:t>IS</w:t>
            </w:r>
            <w:r w:rsidRPr="00674E0E">
              <w:rPr>
                <w:rFonts w:asciiTheme="minorEastAsia" w:eastAsiaTheme="minorEastAsia" w:hAnsiTheme="minorEastAsia" w:hint="eastAsia"/>
                <w:sz w:val="22"/>
                <w:szCs w:val="22"/>
              </w:rPr>
              <w:t>O</w:t>
            </w:r>
            <w:r w:rsidRPr="00674E0E">
              <w:rPr>
                <w:rFonts w:asciiTheme="minorEastAsia" w:eastAsiaTheme="minorEastAsia" w:hAnsiTheme="minorEastAsia"/>
                <w:sz w:val="22"/>
                <w:szCs w:val="22"/>
              </w:rPr>
              <w:t>45001职业健康安全管理体系认证证书且认证范围包含软硬件运维及安全服务</w:t>
            </w:r>
            <w:r w:rsidRPr="00674E0E">
              <w:rPr>
                <w:rFonts w:asciiTheme="minorEastAsia" w:eastAsiaTheme="minorEastAsia" w:hAnsiTheme="minorEastAsia" w:hint="eastAsia"/>
                <w:sz w:val="22"/>
                <w:szCs w:val="22"/>
              </w:rPr>
              <w:t>，</w:t>
            </w:r>
            <w:r w:rsidRPr="00674E0E">
              <w:rPr>
                <w:rFonts w:asciiTheme="minorEastAsia" w:eastAsiaTheme="minorEastAsia" w:hAnsiTheme="minorEastAsia" w:hint="eastAsia"/>
                <w:bCs/>
                <w:sz w:val="22"/>
                <w:szCs w:val="22"/>
              </w:rPr>
              <w:t>得1分。</w:t>
            </w:r>
            <w:r w:rsidRPr="00674E0E">
              <w:rPr>
                <w:rFonts w:asciiTheme="minorEastAsia" w:eastAsiaTheme="minorEastAsia" w:hAnsiTheme="minorEastAsia"/>
                <w:sz w:val="22"/>
                <w:szCs w:val="22"/>
              </w:rPr>
              <w:br/>
            </w:r>
            <w:r w:rsidRPr="00674E0E">
              <w:rPr>
                <w:rFonts w:asciiTheme="minorEastAsia" w:eastAsiaTheme="minorEastAsia" w:hAnsiTheme="minorEastAsia" w:hint="eastAsia"/>
                <w:sz w:val="22"/>
                <w:szCs w:val="22"/>
              </w:rPr>
              <w:t>2、供应商具有有效的I</w:t>
            </w:r>
            <w:r w:rsidRPr="00674E0E">
              <w:rPr>
                <w:rFonts w:asciiTheme="minorEastAsia" w:eastAsiaTheme="minorEastAsia" w:hAnsiTheme="minorEastAsia"/>
                <w:sz w:val="22"/>
                <w:szCs w:val="22"/>
              </w:rPr>
              <w:t>S</w:t>
            </w:r>
            <w:r w:rsidRPr="00674E0E">
              <w:rPr>
                <w:rFonts w:asciiTheme="minorEastAsia" w:eastAsiaTheme="minorEastAsia" w:hAnsiTheme="minorEastAsia" w:hint="eastAsia"/>
                <w:sz w:val="22"/>
                <w:szCs w:val="22"/>
              </w:rPr>
              <w:t>O</w:t>
            </w:r>
            <w:r w:rsidRPr="00674E0E">
              <w:rPr>
                <w:rFonts w:asciiTheme="minorEastAsia" w:eastAsiaTheme="minorEastAsia" w:hAnsiTheme="minorEastAsia"/>
                <w:sz w:val="22"/>
                <w:szCs w:val="22"/>
              </w:rPr>
              <w:t>20000信息技术服各管理体系证书且认证范围包含计算机软硬件运维服务</w:t>
            </w:r>
            <w:r w:rsidRPr="00674E0E">
              <w:rPr>
                <w:rFonts w:asciiTheme="minorEastAsia" w:eastAsiaTheme="minorEastAsia" w:hAnsiTheme="minorEastAsia" w:hint="eastAsia"/>
                <w:sz w:val="22"/>
                <w:szCs w:val="22"/>
              </w:rPr>
              <w:t>，</w:t>
            </w:r>
            <w:r w:rsidRPr="00674E0E">
              <w:rPr>
                <w:rFonts w:asciiTheme="minorEastAsia" w:eastAsiaTheme="minorEastAsia" w:hAnsiTheme="minorEastAsia" w:hint="eastAsia"/>
                <w:bCs/>
                <w:sz w:val="22"/>
                <w:szCs w:val="22"/>
              </w:rPr>
              <w:t>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3、供应商具有有效的</w:t>
            </w:r>
            <w:r w:rsidRPr="00674E0E">
              <w:rPr>
                <w:rFonts w:asciiTheme="minorEastAsia" w:eastAsiaTheme="minorEastAsia" w:hAnsiTheme="minorEastAsia"/>
                <w:sz w:val="22"/>
                <w:szCs w:val="22"/>
              </w:rPr>
              <w:t>IS</w:t>
            </w:r>
            <w:r w:rsidRPr="00674E0E">
              <w:rPr>
                <w:rFonts w:asciiTheme="minorEastAsia" w:eastAsiaTheme="minorEastAsia" w:hAnsiTheme="minorEastAsia" w:hint="eastAsia"/>
                <w:sz w:val="22"/>
                <w:szCs w:val="22"/>
              </w:rPr>
              <w:t>O</w:t>
            </w:r>
            <w:r w:rsidRPr="00674E0E">
              <w:rPr>
                <w:rFonts w:asciiTheme="minorEastAsia" w:eastAsiaTheme="minorEastAsia" w:hAnsiTheme="minorEastAsia"/>
                <w:sz w:val="22"/>
                <w:szCs w:val="22"/>
              </w:rPr>
              <w:t>27001信息安全管理体系认证证书且认证范围包含应用软件开发、软硬件运维及安全服务</w:t>
            </w:r>
            <w:r w:rsidRPr="00674E0E">
              <w:rPr>
                <w:rFonts w:asciiTheme="minorEastAsia" w:eastAsiaTheme="minorEastAsia" w:hAnsiTheme="minorEastAsia" w:hint="eastAsia"/>
                <w:sz w:val="22"/>
                <w:szCs w:val="22"/>
              </w:rPr>
              <w:t>，</w:t>
            </w:r>
            <w:r w:rsidRPr="00674E0E">
              <w:rPr>
                <w:rFonts w:asciiTheme="minorEastAsia" w:eastAsiaTheme="minorEastAsia" w:hAnsiTheme="minorEastAsia" w:hint="eastAsia"/>
                <w:bCs/>
                <w:sz w:val="22"/>
                <w:szCs w:val="22"/>
              </w:rPr>
              <w:t>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4、供应商具有有效的</w:t>
            </w:r>
            <w:r w:rsidRPr="00674E0E">
              <w:rPr>
                <w:rFonts w:asciiTheme="minorEastAsia" w:eastAsiaTheme="minorEastAsia" w:hAnsiTheme="minorEastAsia"/>
                <w:sz w:val="22"/>
                <w:szCs w:val="22"/>
              </w:rPr>
              <w:t>IS</w:t>
            </w:r>
            <w:r w:rsidRPr="00674E0E">
              <w:rPr>
                <w:rFonts w:asciiTheme="minorEastAsia" w:eastAsiaTheme="minorEastAsia" w:hAnsiTheme="minorEastAsia" w:hint="eastAsia"/>
                <w:sz w:val="22"/>
                <w:szCs w:val="22"/>
              </w:rPr>
              <w:t>O</w:t>
            </w:r>
            <w:r w:rsidRPr="00674E0E">
              <w:rPr>
                <w:rFonts w:asciiTheme="minorEastAsia" w:eastAsiaTheme="minorEastAsia" w:hAnsiTheme="minorEastAsia"/>
                <w:sz w:val="22"/>
                <w:szCs w:val="22"/>
              </w:rPr>
              <w:t>22301业务连续性管理体系认证证书且认证范围包含应用软件开发、软硬件运维及安全服务</w:t>
            </w:r>
            <w:r w:rsidRPr="00674E0E">
              <w:rPr>
                <w:rFonts w:asciiTheme="minorEastAsia" w:eastAsiaTheme="minorEastAsia" w:hAnsiTheme="minorEastAsia" w:hint="eastAsia"/>
                <w:sz w:val="22"/>
                <w:szCs w:val="22"/>
              </w:rPr>
              <w:t>，</w:t>
            </w:r>
            <w:r w:rsidRPr="00674E0E">
              <w:rPr>
                <w:rFonts w:asciiTheme="minorEastAsia" w:eastAsiaTheme="minorEastAsia" w:hAnsiTheme="minorEastAsia" w:hint="eastAsia"/>
                <w:bCs/>
                <w:sz w:val="22"/>
                <w:szCs w:val="22"/>
              </w:rPr>
              <w:t>得2分。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5、供应商具有CMMI3软件成熟度认证证书的得1分</w:t>
            </w:r>
            <w:r w:rsidRPr="00674E0E">
              <w:rPr>
                <w:rFonts w:asciiTheme="minorEastAsia" w:eastAsiaTheme="minorEastAsia" w:hAnsiTheme="minorEastAsia" w:hint="eastAsia"/>
                <w:bCs/>
                <w:sz w:val="22"/>
                <w:szCs w:val="22"/>
              </w:rPr>
              <w:t>。</w:t>
            </w:r>
          </w:p>
          <w:p w:rsidR="00674E0E" w:rsidRPr="00674E0E" w:rsidRDefault="00674E0E" w:rsidP="00C321C9">
            <w:pPr>
              <w:pStyle w:val="BodyText1I2"/>
              <w:spacing w:after="0" w:line="320" w:lineRule="exact"/>
              <w:ind w:leftChars="0" w:left="0" w:firstLineChars="0" w:firstLine="0"/>
              <w:rPr>
                <w:rFonts w:asciiTheme="minorEastAsia" w:eastAsiaTheme="minorEastAsia" w:hAnsiTheme="minorEastAsia" w:cs="宋体"/>
                <w:bCs/>
                <w:color w:val="auto"/>
                <w:sz w:val="22"/>
                <w:szCs w:val="22"/>
              </w:rPr>
            </w:pPr>
            <w:r w:rsidRPr="00674E0E">
              <w:rPr>
                <w:rFonts w:asciiTheme="minorEastAsia" w:eastAsiaTheme="minorEastAsia" w:hAnsiTheme="minorEastAsia" w:cs="宋体" w:hint="eastAsia"/>
                <w:color w:val="auto"/>
                <w:sz w:val="22"/>
                <w:szCs w:val="22"/>
              </w:rPr>
              <w:t>6、</w:t>
            </w:r>
            <w:r w:rsidRPr="00674E0E">
              <w:rPr>
                <w:rFonts w:asciiTheme="minorEastAsia" w:eastAsiaTheme="minorEastAsia" w:hAnsiTheme="minorEastAsia" w:cs="宋体" w:hint="eastAsia"/>
                <w:bCs/>
                <w:color w:val="auto"/>
                <w:sz w:val="22"/>
                <w:szCs w:val="22"/>
              </w:rPr>
              <w:t>供应商具有ITSS信息技术服务标准符合性证书，得2分。</w:t>
            </w:r>
          </w:p>
          <w:p w:rsidR="00674E0E" w:rsidRPr="00674E0E" w:rsidRDefault="00674E0E" w:rsidP="00C321C9">
            <w:pPr>
              <w:pStyle w:val="BodyText1I2"/>
              <w:spacing w:after="0" w:line="320" w:lineRule="exact"/>
              <w:ind w:leftChars="0" w:left="0" w:firstLineChars="0" w:firstLine="0"/>
              <w:rPr>
                <w:rFonts w:asciiTheme="minorEastAsia" w:eastAsiaTheme="minorEastAsia" w:hAnsiTheme="minorEastAsia" w:cs="宋体"/>
                <w:bCs/>
                <w:color w:val="auto"/>
                <w:sz w:val="22"/>
                <w:szCs w:val="22"/>
              </w:rPr>
            </w:pPr>
            <w:r w:rsidRPr="00674E0E">
              <w:rPr>
                <w:rFonts w:asciiTheme="minorEastAsia" w:eastAsiaTheme="minorEastAsia" w:hAnsiTheme="minorEastAsia" w:cs="宋体" w:hint="eastAsia"/>
                <w:color w:val="auto"/>
                <w:sz w:val="22"/>
                <w:szCs w:val="22"/>
                <w:lang w:bidi="ar"/>
              </w:rPr>
              <w:t>注：提供以上证书扫描件并加盖公章，否则不得分。</w:t>
            </w:r>
          </w:p>
        </w:tc>
      </w:tr>
      <w:tr w:rsidR="00674E0E" w:rsidRPr="00674E0E" w:rsidTr="00C321C9">
        <w:trPr>
          <w:trHeight w:val="585"/>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项目业绩</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2分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供应商2020年1月1日来（以合同签订时间为准）具有类似项目业绩的每个得1分，本项最高得2分。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注：提供合同复印件和验收证明复印件、中标通知书或政采网中标公告截图，三项缺一不可。</w:t>
            </w:r>
          </w:p>
        </w:tc>
      </w:tr>
      <w:tr w:rsidR="00674E0E" w:rsidRPr="00674E0E" w:rsidTr="00C321C9">
        <w:trPr>
          <w:trHeight w:val="90"/>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施工组织</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6分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bCs/>
                <w:sz w:val="22"/>
                <w:szCs w:val="22"/>
              </w:rPr>
              <w:t>包括施工计划（0-1分）、安全保证措施（0-1分）、质量保证措施（0-2分）、进度保证措施（0-1分）、环境保证措施（0-1分）</w:t>
            </w:r>
            <w:r w:rsidRPr="00674E0E">
              <w:rPr>
                <w:rFonts w:asciiTheme="minorEastAsia" w:eastAsiaTheme="minorEastAsia" w:hAnsiTheme="minorEastAsia" w:hint="eastAsia"/>
                <w:sz w:val="22"/>
                <w:szCs w:val="22"/>
              </w:rPr>
              <w:t>，由专家进行打分。</w:t>
            </w:r>
          </w:p>
        </w:tc>
      </w:tr>
      <w:tr w:rsidR="00674E0E" w:rsidRPr="00674E0E" w:rsidTr="00C321C9">
        <w:trPr>
          <w:trHeight w:val="261"/>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技术方案</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12分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针对投标人所提供的技术方案，包含需求分析、框架设计、建设方案，叙述的准确性，结构图、流程图.系统图等的完整性、准确性、规范性，方案的内容对实际需求的符合性给予打分。完全满足要求的4.1-6分，基本满足要求的2.1-4分，部分满足要求0-2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2、安装调试方案，包括对场地环境的了解、人员的安排，对设备的调试进度安排，调试的步骤、措施，问题的解决方案等。完全满足要求的4.1-6分，基本满足要求的2.1-4分，部分满足要求0-2分。</w:t>
            </w:r>
          </w:p>
        </w:tc>
      </w:tr>
      <w:tr w:rsidR="00674E0E" w:rsidRPr="00674E0E" w:rsidTr="00C321C9">
        <w:trPr>
          <w:trHeight w:val="261"/>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产品符合性</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8分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1、根据采购清单中的技术参数响应情况进行评分，完全满足（或优于）招标技术参数要求的得8分。带★</w:t>
            </w:r>
            <w:r w:rsidRPr="00674E0E">
              <w:rPr>
                <w:rFonts w:asciiTheme="minorEastAsia" w:eastAsiaTheme="minorEastAsia" w:hAnsiTheme="minorEastAsia"/>
                <w:sz w:val="22"/>
                <w:szCs w:val="22"/>
              </w:rPr>
              <w:t>有5项以上(含)</w:t>
            </w:r>
            <w:r w:rsidRPr="00674E0E">
              <w:rPr>
                <w:rFonts w:asciiTheme="minorEastAsia" w:eastAsiaTheme="minorEastAsia" w:hAnsiTheme="minorEastAsia" w:hint="eastAsia"/>
                <w:sz w:val="22"/>
                <w:szCs w:val="22"/>
              </w:rPr>
              <w:t>，10项（不含）以内的</w:t>
            </w:r>
            <w:r w:rsidRPr="00674E0E">
              <w:rPr>
                <w:rFonts w:asciiTheme="minorEastAsia" w:eastAsiaTheme="minorEastAsia" w:hAnsiTheme="minorEastAsia"/>
                <w:sz w:val="22"/>
                <w:szCs w:val="22"/>
              </w:rPr>
              <w:t>负偏离</w:t>
            </w:r>
            <w:r w:rsidRPr="00674E0E">
              <w:rPr>
                <w:rFonts w:asciiTheme="minorEastAsia" w:eastAsiaTheme="minorEastAsia" w:hAnsiTheme="minorEastAsia" w:hint="eastAsia"/>
                <w:sz w:val="22"/>
                <w:szCs w:val="22"/>
              </w:rPr>
              <w:t>扣3分；带★</w:t>
            </w:r>
            <w:r w:rsidRPr="00674E0E">
              <w:rPr>
                <w:rFonts w:asciiTheme="minorEastAsia" w:eastAsiaTheme="minorEastAsia" w:hAnsiTheme="minorEastAsia"/>
                <w:sz w:val="22"/>
                <w:szCs w:val="22"/>
              </w:rPr>
              <w:t>有</w:t>
            </w:r>
            <w:r w:rsidRPr="00674E0E">
              <w:rPr>
                <w:rFonts w:asciiTheme="minorEastAsia" w:eastAsiaTheme="minorEastAsia" w:hAnsiTheme="minorEastAsia" w:hint="eastAsia"/>
                <w:sz w:val="22"/>
                <w:szCs w:val="22"/>
              </w:rPr>
              <w:t>10</w:t>
            </w:r>
            <w:r w:rsidRPr="00674E0E">
              <w:rPr>
                <w:rFonts w:asciiTheme="minorEastAsia" w:eastAsiaTheme="minorEastAsia" w:hAnsiTheme="minorEastAsia"/>
                <w:sz w:val="22"/>
                <w:szCs w:val="22"/>
              </w:rPr>
              <w:t>项以上(含)</w:t>
            </w:r>
            <w:r w:rsidRPr="00674E0E">
              <w:rPr>
                <w:rFonts w:asciiTheme="minorEastAsia" w:eastAsiaTheme="minorEastAsia" w:hAnsiTheme="minorEastAsia" w:hint="eastAsia"/>
                <w:sz w:val="22"/>
                <w:szCs w:val="22"/>
              </w:rPr>
              <w:t>，15项（不含）以内的</w:t>
            </w:r>
            <w:r w:rsidRPr="00674E0E">
              <w:rPr>
                <w:rFonts w:asciiTheme="minorEastAsia" w:eastAsiaTheme="minorEastAsia" w:hAnsiTheme="minorEastAsia"/>
                <w:sz w:val="22"/>
                <w:szCs w:val="22"/>
              </w:rPr>
              <w:t>负偏离</w:t>
            </w:r>
            <w:r w:rsidRPr="00674E0E">
              <w:rPr>
                <w:rFonts w:asciiTheme="minorEastAsia" w:eastAsiaTheme="minorEastAsia" w:hAnsiTheme="minorEastAsia" w:hint="eastAsia"/>
                <w:sz w:val="22"/>
                <w:szCs w:val="22"/>
              </w:rPr>
              <w:t>扣5分；带★</w:t>
            </w:r>
            <w:r w:rsidRPr="00674E0E">
              <w:rPr>
                <w:rFonts w:asciiTheme="minorEastAsia" w:eastAsiaTheme="minorEastAsia" w:hAnsiTheme="minorEastAsia"/>
                <w:sz w:val="22"/>
                <w:szCs w:val="22"/>
              </w:rPr>
              <w:t>有</w:t>
            </w:r>
            <w:r w:rsidRPr="00674E0E">
              <w:rPr>
                <w:rFonts w:asciiTheme="minorEastAsia" w:eastAsiaTheme="minorEastAsia" w:hAnsiTheme="minorEastAsia" w:hint="eastAsia"/>
                <w:sz w:val="22"/>
                <w:szCs w:val="22"/>
              </w:rPr>
              <w:t>15</w:t>
            </w:r>
            <w:r w:rsidRPr="00674E0E">
              <w:rPr>
                <w:rFonts w:asciiTheme="minorEastAsia" w:eastAsiaTheme="minorEastAsia" w:hAnsiTheme="minorEastAsia"/>
                <w:sz w:val="22"/>
                <w:szCs w:val="22"/>
              </w:rPr>
              <w:t>项</w:t>
            </w:r>
            <w:r w:rsidRPr="00674E0E">
              <w:rPr>
                <w:rFonts w:asciiTheme="minorEastAsia" w:eastAsiaTheme="minorEastAsia" w:hAnsiTheme="minorEastAsia" w:hint="eastAsia"/>
                <w:sz w:val="22"/>
                <w:szCs w:val="22"/>
              </w:rPr>
              <w:t>（含）</w:t>
            </w:r>
            <w:r w:rsidRPr="00674E0E">
              <w:rPr>
                <w:rFonts w:asciiTheme="minorEastAsia" w:eastAsiaTheme="minorEastAsia" w:hAnsiTheme="minorEastAsia"/>
                <w:sz w:val="22"/>
                <w:szCs w:val="22"/>
              </w:rPr>
              <w:t>以上</w:t>
            </w:r>
            <w:r w:rsidRPr="00674E0E">
              <w:rPr>
                <w:rFonts w:asciiTheme="minorEastAsia" w:eastAsiaTheme="minorEastAsia" w:hAnsiTheme="minorEastAsia"/>
                <w:sz w:val="22"/>
                <w:szCs w:val="22"/>
              </w:rPr>
              <w:lastRenderedPageBreak/>
              <w:t>(含)</w:t>
            </w:r>
            <w:r w:rsidRPr="00674E0E">
              <w:rPr>
                <w:rFonts w:asciiTheme="minorEastAsia" w:eastAsiaTheme="minorEastAsia" w:hAnsiTheme="minorEastAsia" w:hint="eastAsia"/>
                <w:sz w:val="22"/>
                <w:szCs w:val="22"/>
              </w:rPr>
              <w:t>的</w:t>
            </w:r>
            <w:r w:rsidRPr="00674E0E">
              <w:rPr>
                <w:rFonts w:asciiTheme="minorEastAsia" w:eastAsiaTheme="minorEastAsia" w:hAnsiTheme="minorEastAsia"/>
                <w:sz w:val="22"/>
                <w:szCs w:val="22"/>
              </w:rPr>
              <w:t>负偏离</w:t>
            </w:r>
            <w:r w:rsidRPr="00674E0E">
              <w:rPr>
                <w:rFonts w:asciiTheme="minorEastAsia" w:eastAsiaTheme="minorEastAsia" w:hAnsiTheme="minorEastAsia" w:hint="eastAsia"/>
                <w:sz w:val="22"/>
                <w:szCs w:val="22"/>
              </w:rPr>
              <w:t>扣8分。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注：以上技术指标如出现偏离必须在《技术偏离表》中完整体现，技术指标偏离表不体现，按0分处理。如果不按招标要求提供截图、证书等证明文件，视为负偏离。</w:t>
            </w:r>
          </w:p>
        </w:tc>
      </w:tr>
      <w:tr w:rsidR="00674E0E" w:rsidRPr="00674E0E" w:rsidTr="00C321C9">
        <w:trPr>
          <w:trHeight w:val="585"/>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售后服务</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5分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根据投标人所提供的售后服务承诺（</w:t>
            </w:r>
            <w:r w:rsidRPr="00674E0E">
              <w:rPr>
                <w:rFonts w:asciiTheme="minorEastAsia" w:eastAsiaTheme="minorEastAsia" w:hAnsiTheme="minorEastAsia" w:hint="eastAsia"/>
                <w:bCs/>
                <w:sz w:val="22"/>
                <w:szCs w:val="22"/>
              </w:rPr>
              <w:t>0-1分）</w:t>
            </w:r>
            <w:r w:rsidRPr="00674E0E">
              <w:rPr>
                <w:rFonts w:asciiTheme="minorEastAsia" w:eastAsiaTheme="minorEastAsia" w:hAnsiTheme="minorEastAsia" w:hint="eastAsia"/>
                <w:sz w:val="22"/>
                <w:szCs w:val="22"/>
              </w:rPr>
              <w:t>、应急响应时间（</w:t>
            </w:r>
            <w:r w:rsidRPr="00674E0E">
              <w:rPr>
                <w:rFonts w:asciiTheme="minorEastAsia" w:eastAsiaTheme="minorEastAsia" w:hAnsiTheme="minorEastAsia" w:hint="eastAsia"/>
                <w:bCs/>
                <w:sz w:val="22"/>
                <w:szCs w:val="22"/>
              </w:rPr>
              <w:t>0-1）分</w:t>
            </w:r>
            <w:r w:rsidRPr="00674E0E">
              <w:rPr>
                <w:rFonts w:asciiTheme="minorEastAsia" w:eastAsiaTheme="minorEastAsia" w:hAnsiTheme="minorEastAsia" w:hint="eastAsia"/>
                <w:sz w:val="22"/>
                <w:szCs w:val="22"/>
              </w:rPr>
              <w:t>、</w:t>
            </w:r>
            <w:r w:rsidRPr="00674E0E">
              <w:rPr>
                <w:rFonts w:asciiTheme="minorEastAsia" w:eastAsiaTheme="minorEastAsia" w:hAnsiTheme="minorEastAsia" w:hint="eastAsia"/>
                <w:bCs/>
                <w:sz w:val="22"/>
                <w:szCs w:val="22"/>
              </w:rPr>
              <w:t>服务网点（0-1分），售后服务及培训方案（0-2分）</w:t>
            </w:r>
            <w:r w:rsidRPr="00674E0E">
              <w:rPr>
                <w:rFonts w:asciiTheme="minorEastAsia" w:eastAsiaTheme="minorEastAsia" w:hAnsiTheme="minorEastAsia" w:hint="eastAsia"/>
                <w:sz w:val="22"/>
                <w:szCs w:val="22"/>
              </w:rPr>
              <w:t>情况进行打分。</w:t>
            </w:r>
          </w:p>
        </w:tc>
      </w:tr>
      <w:tr w:rsidR="00674E0E" w:rsidRPr="00674E0E" w:rsidTr="00C321C9">
        <w:trPr>
          <w:trHeight w:val="596"/>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项目技术人员组成</w:t>
            </w:r>
          </w:p>
        </w:tc>
        <w:tc>
          <w:tcPr>
            <w:tcW w:w="84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13分</w:t>
            </w:r>
          </w:p>
        </w:tc>
        <w:tc>
          <w:tcPr>
            <w:tcW w:w="6064" w:type="dxa"/>
            <w:vAlign w:val="center"/>
          </w:tcPr>
          <w:p w:rsidR="00674E0E" w:rsidRPr="00674E0E" w:rsidRDefault="00674E0E" w:rsidP="00C321C9">
            <w:pPr>
              <w:spacing w:line="320" w:lineRule="exact"/>
              <w:textAlignment w:val="center"/>
              <w:rPr>
                <w:rFonts w:asciiTheme="minorEastAsia" w:eastAsiaTheme="minorEastAsia" w:hAnsiTheme="minorEastAsia"/>
                <w:sz w:val="22"/>
                <w:szCs w:val="22"/>
                <w:lang w:bidi="ar"/>
              </w:rPr>
            </w:pPr>
            <w:r w:rsidRPr="00674E0E">
              <w:rPr>
                <w:rFonts w:asciiTheme="minorEastAsia" w:eastAsiaTheme="minorEastAsia" w:hAnsiTheme="minorEastAsia" w:hint="eastAsia"/>
                <w:sz w:val="22"/>
                <w:szCs w:val="22"/>
                <w:lang w:bidi="ar"/>
              </w:rPr>
              <w:t>1、供应商拟派项目负责人 (唯一)具有一级注册建造师 (机电工程)、信息系统项目管理师、</w:t>
            </w:r>
            <w:r w:rsidRPr="00674E0E">
              <w:rPr>
                <w:rFonts w:asciiTheme="minorEastAsia" w:eastAsiaTheme="minorEastAsia" w:hAnsiTheme="minorEastAsia" w:hint="eastAsia"/>
                <w:sz w:val="22"/>
                <w:szCs w:val="22"/>
              </w:rPr>
              <w:t>高级软件开发工程师</w:t>
            </w:r>
            <w:r w:rsidRPr="00674E0E">
              <w:rPr>
                <w:rFonts w:asciiTheme="minorEastAsia" w:eastAsiaTheme="minorEastAsia" w:hAnsiTheme="minorEastAsia" w:hint="eastAsia"/>
                <w:sz w:val="22"/>
                <w:szCs w:val="22"/>
                <w:lang w:bidi="ar"/>
              </w:rPr>
              <w:t>的，具备一本证书的得1分，两本证书的得2分，全部具备得4分。</w:t>
            </w:r>
          </w:p>
          <w:p w:rsidR="00674E0E" w:rsidRPr="00674E0E" w:rsidRDefault="00674E0E" w:rsidP="00C321C9">
            <w:pPr>
              <w:pStyle w:val="a6"/>
              <w:rPr>
                <w:rFonts w:asciiTheme="minorEastAsia" w:eastAsiaTheme="minorEastAsia" w:hAnsiTheme="minorEastAsia" w:cs="宋体"/>
                <w:bCs w:val="0"/>
                <w:kern w:val="0"/>
                <w:sz w:val="22"/>
                <w:szCs w:val="22"/>
                <w:lang w:bidi="ar"/>
              </w:rPr>
            </w:pPr>
            <w:r w:rsidRPr="00674E0E">
              <w:rPr>
                <w:rFonts w:asciiTheme="minorEastAsia" w:eastAsiaTheme="minorEastAsia" w:hAnsiTheme="minorEastAsia" w:hint="eastAsia"/>
                <w:sz w:val="22"/>
                <w:szCs w:val="22"/>
                <w:lang w:bidi="ar"/>
              </w:rPr>
              <w:t>2、供应商拟派</w:t>
            </w:r>
            <w:r w:rsidRPr="00674E0E">
              <w:rPr>
                <w:rFonts w:asciiTheme="minorEastAsia" w:eastAsiaTheme="minorEastAsia" w:hAnsiTheme="minorEastAsia" w:cs="宋体" w:hint="eastAsia"/>
                <w:bCs w:val="0"/>
                <w:kern w:val="0"/>
                <w:sz w:val="22"/>
                <w:szCs w:val="22"/>
                <w:lang w:bidi="ar"/>
              </w:rPr>
              <w:t>技术责任人 (唯一)具有注册信息安全工程师（CISP）、高级软件设计师、高级数据库管理工程师，具备一本证书的得1分，两本证书的得2分，全部具备得4分。</w:t>
            </w:r>
          </w:p>
          <w:p w:rsidR="00674E0E" w:rsidRPr="00674E0E" w:rsidRDefault="00674E0E" w:rsidP="00C321C9">
            <w:pPr>
              <w:spacing w:line="320" w:lineRule="exact"/>
              <w:textAlignment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lang w:bidi="ar"/>
              </w:rPr>
              <w:t>3、供应商拟派安全负责人 (唯一) 具有</w:t>
            </w:r>
            <w:r w:rsidRPr="00674E0E">
              <w:rPr>
                <w:rFonts w:asciiTheme="minorEastAsia" w:eastAsiaTheme="minorEastAsia" w:hAnsiTheme="minorEastAsia" w:hint="eastAsia"/>
                <w:sz w:val="22"/>
                <w:szCs w:val="22"/>
              </w:rPr>
              <w:t>云安全工程师（CISP-CSE)、高级信息安全管理证书的具备一本证书的得1分，两本证书的得3分。</w:t>
            </w:r>
          </w:p>
          <w:p w:rsidR="00674E0E" w:rsidRPr="00674E0E" w:rsidRDefault="00674E0E" w:rsidP="00C321C9">
            <w:pPr>
              <w:pStyle w:val="BodyText1I2"/>
              <w:spacing w:line="320" w:lineRule="exact"/>
              <w:ind w:leftChars="0" w:left="0" w:firstLineChars="0" w:firstLine="0"/>
              <w:rPr>
                <w:rFonts w:asciiTheme="minorEastAsia" w:eastAsiaTheme="minorEastAsia" w:hAnsiTheme="minorEastAsia" w:cs="宋体"/>
                <w:color w:val="auto"/>
                <w:sz w:val="22"/>
                <w:szCs w:val="22"/>
              </w:rPr>
            </w:pPr>
            <w:r w:rsidRPr="00674E0E">
              <w:rPr>
                <w:rFonts w:asciiTheme="minorEastAsia" w:eastAsiaTheme="minorEastAsia" w:hAnsiTheme="minorEastAsia" w:cs="宋体" w:hint="eastAsia"/>
                <w:color w:val="auto"/>
                <w:sz w:val="22"/>
                <w:szCs w:val="22"/>
              </w:rPr>
              <w:t>4、供应商拟派项目组成员 (不含项目负责人、技术负责人及安全负责人)具备高级工程师（应用电子）、计算机应用软件工程师证书、中级数据库系统工程师、 高级信息系统运维管理工程师的一项得 0.5 分，最高得2分。 (同一人员不重复计分)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注：①提供以上项目人员需提供完整有效的证书扫描件并加盖公章；②提供以上人员在投标截止时间前三个月任一月内由社会保险基金管理部门出具的社保证明，社保缴纳单位应与投标供应商名称一致，否则不得分。</w:t>
            </w:r>
          </w:p>
        </w:tc>
      </w:tr>
      <w:tr w:rsidR="00674E0E" w:rsidRPr="00674E0E" w:rsidTr="00C321C9">
        <w:trPr>
          <w:trHeight w:val="596"/>
        </w:trPr>
        <w:tc>
          <w:tcPr>
            <w:tcW w:w="735" w:type="dxa"/>
            <w:vAlign w:val="center"/>
          </w:tcPr>
          <w:p w:rsidR="00674E0E" w:rsidRPr="00674E0E" w:rsidRDefault="00674E0E" w:rsidP="00C321C9">
            <w:pPr>
              <w:numPr>
                <w:ilvl w:val="0"/>
                <w:numId w:val="1"/>
              </w:numPr>
              <w:spacing w:line="320" w:lineRule="exact"/>
              <w:ind w:right="3"/>
              <w:jc w:val="center"/>
              <w:rPr>
                <w:rFonts w:asciiTheme="minorEastAsia" w:eastAsiaTheme="minorEastAsia" w:hAnsiTheme="minorEastAsia"/>
                <w:sz w:val="22"/>
                <w:szCs w:val="22"/>
              </w:rPr>
            </w:pPr>
          </w:p>
        </w:tc>
        <w:tc>
          <w:tcPr>
            <w:tcW w:w="1427" w:type="dxa"/>
            <w:vAlign w:val="center"/>
          </w:tcPr>
          <w:p w:rsidR="00674E0E" w:rsidRPr="00674E0E" w:rsidRDefault="00674E0E" w:rsidP="00C321C9">
            <w:pPr>
              <w:spacing w:line="320" w:lineRule="exact"/>
              <w:jc w:val="center"/>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软件演示</w:t>
            </w:r>
          </w:p>
        </w:tc>
        <w:tc>
          <w:tcPr>
            <w:tcW w:w="847"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16分</w:t>
            </w:r>
          </w:p>
        </w:tc>
        <w:tc>
          <w:tcPr>
            <w:tcW w:w="6064" w:type="dxa"/>
            <w:vAlign w:val="center"/>
          </w:tcPr>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现场演示：只接受根据现场程序演示，非程序演示如PPT演示、demo和视频演示等均不得分。</w:t>
            </w:r>
            <w:r w:rsidRPr="00674E0E">
              <w:rPr>
                <w:rFonts w:asciiTheme="minorEastAsia" w:eastAsiaTheme="minorEastAsia" w:hAnsiTheme="minorEastAsia" w:hint="eastAsia"/>
                <w:sz w:val="22"/>
                <w:szCs w:val="22"/>
              </w:rPr>
              <w:br/>
              <w:t>1.演示地质模型功能，包括初始地形、现状地表、最终境界、原生矿、风化矿、残破层、数据标注、比例尺动态切换、模型三维旋转功能；得2分。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2.演示越界开采管理功能，包括矿界红线、矿界黄线、车辆总数统计、车辆在线统计、关闭车辆展示按钮、车辆分类展示、车辆在线离线状态、车辆轨迹回放、越界预警列表、超边坡开采越界红线及电子围栏、车辆三维模型功能；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3.演示人员定位功能，包括人员定位展示在开拓系统图和倾斜摄影复合图中，人员总数统计、在线人数统计、关闭人员展示按钮、人员职位、人员名称、手机号、人员在线离线状态、轨迹回放、人员三维模型功能；得0.5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4.演示车辆定位功能，包括车辆定位展示在开拓系统图和倾斜摄影复合图中，车辆总数统计，在线车辆统计，界内车辆统计，界外车辆统计，车辆列表，门禁进入车辆统计，车辆超速预警展示；得0.5分。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5.演示粉尘监测功能，包括粉尘名称、粉尘点位地址、粉尘实</w:t>
            </w:r>
            <w:r w:rsidRPr="00674E0E">
              <w:rPr>
                <w:rFonts w:asciiTheme="minorEastAsia" w:eastAsiaTheme="minorEastAsia" w:hAnsiTheme="minorEastAsia" w:hint="eastAsia"/>
                <w:sz w:val="22"/>
                <w:szCs w:val="22"/>
              </w:rPr>
              <w:lastRenderedPageBreak/>
              <w:t>时数据、粉尘历史数据列表、粉尘曲线、粉尘历史数据导出、粉尘展示背景为三维实景地图功能;得0.5分。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6.演示边坡监测功能，包括内部位移、质点速度、gnss、内部应力数据展示、历史数据展示、历史曲线展示、历史报警展示、展示背景为三维实景地图功能；得0.5分。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7.矿山基本信息库软件平台可以展示功能包括企业名称，上级企业，企业地址，企业负责人名称电话，安全生产负责人名称电话，矿山全称，矿山开拓方式，矿山资源量，矿山风险等级，安全标准化等级，设计开采最大高度，现状高度，安全生产许可证，采矿许可证，工商营业执照，基建工程及总平面布置图，采矿方法示意图，地表防洪工程平面图，矿山地质地形图，矿山地质破面图，供电系统示意图，终了境界平面图；得0.5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8.双预防平台基本功能展示、新增、搜索包括企业资质，矿山图纸，持证人员信息，风险点清单，风险告知卡，安全风险分级清单，管控措施清单，风险管控排查表，安全检查与隐患排查清单及详情，应急救援，安全生产会议，安全生产培训，安全资料库建设（法律法规政策文件、设备检测报告、设备说明书，边坡稳定性评价报告，工艺物料说明书、企业规章制度）；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9.动态四色图展示，包括静态四色图对比列表，四色风险图例列表，开拓系统图和倾斜摄影复合图内安全风险四色动态展示，关闭动态四色图，关闭开拓系统图；得2分。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10.演示数据集成平台功能，包括企业基本信息、人员车辆统计、环境监测数据、预警总数、闭环预警总数、预警待处理总数、视频列表、雨量实时曲线、边坡位移各监测点位移曲线功能；得0.5分。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11.演示预警闭环管理功能，包括地磅预警、人员闯入预警、车辆闯入预警、未带安全帽预警、粉尘预警、边坡预警、预警内容、预警时间、处理人、处理时间、处理描述、是否闭环、闭环处置、闭环描述、闭环日期、闭环图片导入、预警信息搜索、预警信息导出；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12.功能演示实时资源管理工具，包括三维地图测距、测面积工具功能、80坐标系转2000坐标系七参数计算；得2分。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13.演示设备管理功能，包括安全帽与人员绑定管理、车辆GPS与车辆绑定管理、摄像头与经纬度绑定管理、声光报警与摄像头绑定管理功能；得1分。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14.演示系统配置功能，包括矿界拐点导入与删除、电子围栏新增、绘制、编辑、删除，倾斜摄影新增、排序、是否启用、是否展示、编辑、删除、倾斜摄影按类型、名称搜索等功能；得1分。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15.演示销量管理功能，包括客户名称、车辆名称、车次编号、地磅名称、净重、毛重、皮重、毛重时间、皮重时间等功能。得2分。</w:t>
            </w:r>
          </w:p>
          <w:p w:rsidR="00674E0E" w:rsidRPr="00674E0E" w:rsidRDefault="00674E0E" w:rsidP="00C321C9">
            <w:pPr>
              <w:spacing w:line="320" w:lineRule="exact"/>
              <w:rPr>
                <w:rFonts w:asciiTheme="minorEastAsia" w:eastAsiaTheme="minorEastAsia" w:hAnsiTheme="minorEastAsia"/>
                <w:sz w:val="22"/>
                <w:szCs w:val="22"/>
              </w:rPr>
            </w:pPr>
            <w:r w:rsidRPr="00674E0E">
              <w:rPr>
                <w:rFonts w:asciiTheme="minorEastAsia" w:eastAsiaTheme="minorEastAsia" w:hAnsiTheme="minorEastAsia" w:hint="eastAsia"/>
                <w:sz w:val="22"/>
                <w:szCs w:val="22"/>
              </w:rPr>
              <w:t>备注：以上演示每家供应商演示时间最长不超过20分钟。</w:t>
            </w:r>
          </w:p>
        </w:tc>
      </w:tr>
    </w:tbl>
    <w:p w:rsidR="003E48A9" w:rsidRPr="00674E0E" w:rsidRDefault="003E48A9"/>
    <w:sectPr w:rsidR="003E48A9" w:rsidRPr="00674E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80" w:rsidRDefault="001B4880" w:rsidP="00B23745">
      <w:r>
        <w:separator/>
      </w:r>
    </w:p>
  </w:endnote>
  <w:endnote w:type="continuationSeparator" w:id="0">
    <w:p w:rsidR="001B4880" w:rsidRDefault="001B4880" w:rsidP="00B2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80" w:rsidRDefault="001B4880" w:rsidP="00B23745">
      <w:r>
        <w:separator/>
      </w:r>
    </w:p>
  </w:footnote>
  <w:footnote w:type="continuationSeparator" w:id="0">
    <w:p w:rsidR="001B4880" w:rsidRDefault="001B4880" w:rsidP="00B23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428D"/>
    <w:multiLevelType w:val="singleLevel"/>
    <w:tmpl w:val="225E428D"/>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45"/>
    <w:rsid w:val="00003C63"/>
    <w:rsid w:val="00004A97"/>
    <w:rsid w:val="00017212"/>
    <w:rsid w:val="000320FE"/>
    <w:rsid w:val="00037750"/>
    <w:rsid w:val="0006227A"/>
    <w:rsid w:val="00073057"/>
    <w:rsid w:val="00077536"/>
    <w:rsid w:val="000A5625"/>
    <w:rsid w:val="000E5451"/>
    <w:rsid w:val="001170B2"/>
    <w:rsid w:val="00141D5A"/>
    <w:rsid w:val="00193885"/>
    <w:rsid w:val="001939CC"/>
    <w:rsid w:val="001A0634"/>
    <w:rsid w:val="001A24BF"/>
    <w:rsid w:val="001B4880"/>
    <w:rsid w:val="001C0411"/>
    <w:rsid w:val="001C5267"/>
    <w:rsid w:val="001D393C"/>
    <w:rsid w:val="001F6279"/>
    <w:rsid w:val="0020250A"/>
    <w:rsid w:val="0021146D"/>
    <w:rsid w:val="0021433C"/>
    <w:rsid w:val="00236449"/>
    <w:rsid w:val="002515EB"/>
    <w:rsid w:val="0025601D"/>
    <w:rsid w:val="00287311"/>
    <w:rsid w:val="002955CD"/>
    <w:rsid w:val="002B04CB"/>
    <w:rsid w:val="002B5E3D"/>
    <w:rsid w:val="002C0E6B"/>
    <w:rsid w:val="002C167C"/>
    <w:rsid w:val="002D1367"/>
    <w:rsid w:val="002D3CCF"/>
    <w:rsid w:val="002F67D7"/>
    <w:rsid w:val="003023EF"/>
    <w:rsid w:val="00316B06"/>
    <w:rsid w:val="00323554"/>
    <w:rsid w:val="003238F5"/>
    <w:rsid w:val="003465F6"/>
    <w:rsid w:val="00353BDD"/>
    <w:rsid w:val="0036326A"/>
    <w:rsid w:val="003C0C37"/>
    <w:rsid w:val="003C2A0B"/>
    <w:rsid w:val="003C4144"/>
    <w:rsid w:val="003E3E99"/>
    <w:rsid w:val="003E48A9"/>
    <w:rsid w:val="003F12A1"/>
    <w:rsid w:val="004014D4"/>
    <w:rsid w:val="00402FDA"/>
    <w:rsid w:val="00404691"/>
    <w:rsid w:val="0042144A"/>
    <w:rsid w:val="00426212"/>
    <w:rsid w:val="00430E87"/>
    <w:rsid w:val="0043356C"/>
    <w:rsid w:val="004757EA"/>
    <w:rsid w:val="004807ED"/>
    <w:rsid w:val="0049448F"/>
    <w:rsid w:val="004C5350"/>
    <w:rsid w:val="004D0DDD"/>
    <w:rsid w:val="004E66C9"/>
    <w:rsid w:val="004F0F54"/>
    <w:rsid w:val="004F1E3A"/>
    <w:rsid w:val="004F6CA9"/>
    <w:rsid w:val="0050036F"/>
    <w:rsid w:val="0051729C"/>
    <w:rsid w:val="00531256"/>
    <w:rsid w:val="00536D7C"/>
    <w:rsid w:val="00537B56"/>
    <w:rsid w:val="00541F02"/>
    <w:rsid w:val="00546A65"/>
    <w:rsid w:val="005502C9"/>
    <w:rsid w:val="00561C0C"/>
    <w:rsid w:val="00570234"/>
    <w:rsid w:val="005754B7"/>
    <w:rsid w:val="00581271"/>
    <w:rsid w:val="0058265A"/>
    <w:rsid w:val="00585D06"/>
    <w:rsid w:val="0058789F"/>
    <w:rsid w:val="00590510"/>
    <w:rsid w:val="005C1C86"/>
    <w:rsid w:val="005C3292"/>
    <w:rsid w:val="005C7A5C"/>
    <w:rsid w:val="005D3310"/>
    <w:rsid w:val="005D60D5"/>
    <w:rsid w:val="005E43FA"/>
    <w:rsid w:val="005F2A56"/>
    <w:rsid w:val="005F462F"/>
    <w:rsid w:val="00606F7D"/>
    <w:rsid w:val="00611A7E"/>
    <w:rsid w:val="0062387F"/>
    <w:rsid w:val="00637EEC"/>
    <w:rsid w:val="00657E8E"/>
    <w:rsid w:val="00672614"/>
    <w:rsid w:val="00674E0E"/>
    <w:rsid w:val="00677E3E"/>
    <w:rsid w:val="00696260"/>
    <w:rsid w:val="006C0B8D"/>
    <w:rsid w:val="006C2037"/>
    <w:rsid w:val="006C5916"/>
    <w:rsid w:val="006D485B"/>
    <w:rsid w:val="006D7C54"/>
    <w:rsid w:val="006E24C5"/>
    <w:rsid w:val="006E36A3"/>
    <w:rsid w:val="006E58E5"/>
    <w:rsid w:val="006F2BDF"/>
    <w:rsid w:val="00706282"/>
    <w:rsid w:val="00707603"/>
    <w:rsid w:val="00736A09"/>
    <w:rsid w:val="007425D3"/>
    <w:rsid w:val="00760CDD"/>
    <w:rsid w:val="00763C8E"/>
    <w:rsid w:val="00777E18"/>
    <w:rsid w:val="00783511"/>
    <w:rsid w:val="0079370F"/>
    <w:rsid w:val="007A40D1"/>
    <w:rsid w:val="007B06B0"/>
    <w:rsid w:val="007B600B"/>
    <w:rsid w:val="007D4274"/>
    <w:rsid w:val="007F0A88"/>
    <w:rsid w:val="008054EA"/>
    <w:rsid w:val="0081293F"/>
    <w:rsid w:val="00816C21"/>
    <w:rsid w:val="00834A3F"/>
    <w:rsid w:val="00841783"/>
    <w:rsid w:val="00842FB3"/>
    <w:rsid w:val="0085728D"/>
    <w:rsid w:val="0087508E"/>
    <w:rsid w:val="008A5BC3"/>
    <w:rsid w:val="008B1959"/>
    <w:rsid w:val="008B2619"/>
    <w:rsid w:val="008C4B53"/>
    <w:rsid w:val="008C544A"/>
    <w:rsid w:val="008D497C"/>
    <w:rsid w:val="008E6976"/>
    <w:rsid w:val="008E6A41"/>
    <w:rsid w:val="008F6FD1"/>
    <w:rsid w:val="00906CF6"/>
    <w:rsid w:val="0097069D"/>
    <w:rsid w:val="009717A3"/>
    <w:rsid w:val="00976C8D"/>
    <w:rsid w:val="00986BB3"/>
    <w:rsid w:val="009878FE"/>
    <w:rsid w:val="009A5748"/>
    <w:rsid w:val="009B6105"/>
    <w:rsid w:val="009E4CCB"/>
    <w:rsid w:val="009E62D0"/>
    <w:rsid w:val="009F243E"/>
    <w:rsid w:val="009F3200"/>
    <w:rsid w:val="00A1177F"/>
    <w:rsid w:val="00A14D58"/>
    <w:rsid w:val="00A207C3"/>
    <w:rsid w:val="00A20F85"/>
    <w:rsid w:val="00A320DD"/>
    <w:rsid w:val="00A40B2B"/>
    <w:rsid w:val="00A44F12"/>
    <w:rsid w:val="00A66DD1"/>
    <w:rsid w:val="00A81485"/>
    <w:rsid w:val="00A81C48"/>
    <w:rsid w:val="00A87321"/>
    <w:rsid w:val="00A87792"/>
    <w:rsid w:val="00AA74C0"/>
    <w:rsid w:val="00AB0407"/>
    <w:rsid w:val="00AB4230"/>
    <w:rsid w:val="00AF6779"/>
    <w:rsid w:val="00B036E8"/>
    <w:rsid w:val="00B13591"/>
    <w:rsid w:val="00B23745"/>
    <w:rsid w:val="00B41871"/>
    <w:rsid w:val="00B9145D"/>
    <w:rsid w:val="00BB0EC9"/>
    <w:rsid w:val="00C10813"/>
    <w:rsid w:val="00C15770"/>
    <w:rsid w:val="00C24346"/>
    <w:rsid w:val="00C3311D"/>
    <w:rsid w:val="00C35E51"/>
    <w:rsid w:val="00C40B60"/>
    <w:rsid w:val="00C51C9F"/>
    <w:rsid w:val="00C56599"/>
    <w:rsid w:val="00C878CB"/>
    <w:rsid w:val="00C958AE"/>
    <w:rsid w:val="00CB7DEA"/>
    <w:rsid w:val="00CC093E"/>
    <w:rsid w:val="00CC5074"/>
    <w:rsid w:val="00D16178"/>
    <w:rsid w:val="00D16C8F"/>
    <w:rsid w:val="00D25589"/>
    <w:rsid w:val="00D652A5"/>
    <w:rsid w:val="00D73F19"/>
    <w:rsid w:val="00D842A2"/>
    <w:rsid w:val="00D84D73"/>
    <w:rsid w:val="00D85EC8"/>
    <w:rsid w:val="00D96A80"/>
    <w:rsid w:val="00DA3470"/>
    <w:rsid w:val="00DB7F6C"/>
    <w:rsid w:val="00DD4776"/>
    <w:rsid w:val="00DE296B"/>
    <w:rsid w:val="00DF1542"/>
    <w:rsid w:val="00E107A6"/>
    <w:rsid w:val="00E25814"/>
    <w:rsid w:val="00E27DDD"/>
    <w:rsid w:val="00EA4B5A"/>
    <w:rsid w:val="00EC13B4"/>
    <w:rsid w:val="00EC1759"/>
    <w:rsid w:val="00EC24C3"/>
    <w:rsid w:val="00ED13FC"/>
    <w:rsid w:val="00F024C6"/>
    <w:rsid w:val="00F075C2"/>
    <w:rsid w:val="00F31056"/>
    <w:rsid w:val="00F53CA5"/>
    <w:rsid w:val="00F55951"/>
    <w:rsid w:val="00F73CB5"/>
    <w:rsid w:val="00F92FC7"/>
    <w:rsid w:val="00F937C0"/>
    <w:rsid w:val="00F9431F"/>
    <w:rsid w:val="00F96E4E"/>
    <w:rsid w:val="00FA0F45"/>
    <w:rsid w:val="00FB1FAE"/>
    <w:rsid w:val="00FB271B"/>
    <w:rsid w:val="00FE2D39"/>
    <w:rsid w:val="00FF7C87"/>
    <w:rsid w:val="00FF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3745"/>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23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3745"/>
    <w:rPr>
      <w:sz w:val="18"/>
      <w:szCs w:val="18"/>
    </w:rPr>
  </w:style>
  <w:style w:type="paragraph" w:styleId="a5">
    <w:name w:val="footer"/>
    <w:basedOn w:val="a"/>
    <w:link w:val="Char0"/>
    <w:uiPriority w:val="99"/>
    <w:unhideWhenUsed/>
    <w:rsid w:val="00B23745"/>
    <w:pPr>
      <w:tabs>
        <w:tab w:val="center" w:pos="4153"/>
        <w:tab w:val="right" w:pos="8306"/>
      </w:tabs>
      <w:snapToGrid w:val="0"/>
    </w:pPr>
    <w:rPr>
      <w:sz w:val="18"/>
      <w:szCs w:val="18"/>
    </w:rPr>
  </w:style>
  <w:style w:type="character" w:customStyle="1" w:styleId="Char0">
    <w:name w:val="页脚 Char"/>
    <w:basedOn w:val="a1"/>
    <w:link w:val="a5"/>
    <w:uiPriority w:val="99"/>
    <w:rsid w:val="00B23745"/>
    <w:rPr>
      <w:sz w:val="18"/>
      <w:szCs w:val="18"/>
    </w:rPr>
  </w:style>
  <w:style w:type="paragraph" w:styleId="a6">
    <w:name w:val="Body Text"/>
    <w:basedOn w:val="a"/>
    <w:next w:val="a0"/>
    <w:link w:val="Char1"/>
    <w:qFormat/>
    <w:rsid w:val="00B23745"/>
    <w:rPr>
      <w:rFonts w:ascii="Arial" w:hAnsi="Arial" w:cs="Times New Roman"/>
      <w:bCs/>
      <w:kern w:val="2"/>
    </w:rPr>
  </w:style>
  <w:style w:type="character" w:customStyle="1" w:styleId="Char1">
    <w:name w:val="正文文本 Char"/>
    <w:basedOn w:val="a1"/>
    <w:link w:val="a6"/>
    <w:qFormat/>
    <w:rsid w:val="00B23745"/>
    <w:rPr>
      <w:rFonts w:ascii="Arial" w:eastAsia="宋体" w:hAnsi="Arial" w:cs="Times New Roman"/>
      <w:bCs/>
      <w:sz w:val="24"/>
      <w:szCs w:val="24"/>
    </w:rPr>
  </w:style>
  <w:style w:type="paragraph" w:styleId="a7">
    <w:name w:val="Body Text Indent"/>
    <w:basedOn w:val="a"/>
    <w:next w:val="a"/>
    <w:link w:val="Char2"/>
    <w:qFormat/>
    <w:rsid w:val="00B23745"/>
    <w:pPr>
      <w:spacing w:after="120"/>
      <w:ind w:leftChars="200" w:left="420"/>
    </w:pPr>
    <w:rPr>
      <w:rFonts w:ascii="Times New Roman" w:hAnsi="Times New Roman" w:cs="Times New Roman"/>
      <w:kern w:val="2"/>
      <w:sz w:val="21"/>
    </w:rPr>
  </w:style>
  <w:style w:type="character" w:customStyle="1" w:styleId="Char2">
    <w:name w:val="正文文本缩进 Char"/>
    <w:basedOn w:val="a1"/>
    <w:link w:val="a7"/>
    <w:qFormat/>
    <w:rsid w:val="00B23745"/>
    <w:rPr>
      <w:rFonts w:ascii="Times New Roman" w:eastAsia="宋体" w:hAnsi="Times New Roman" w:cs="Times New Roman"/>
      <w:szCs w:val="24"/>
    </w:rPr>
  </w:style>
  <w:style w:type="paragraph" w:styleId="a8">
    <w:name w:val="Plain Text"/>
    <w:basedOn w:val="a"/>
    <w:link w:val="Char3"/>
    <w:uiPriority w:val="99"/>
    <w:qFormat/>
    <w:rsid w:val="00B23745"/>
    <w:rPr>
      <w:rFonts w:hAnsi="Courier New" w:cs="Times New Roman"/>
      <w:kern w:val="2"/>
      <w:sz w:val="21"/>
      <w:szCs w:val="20"/>
    </w:rPr>
  </w:style>
  <w:style w:type="character" w:customStyle="1" w:styleId="Char3">
    <w:name w:val="纯文本 Char"/>
    <w:basedOn w:val="a1"/>
    <w:link w:val="a8"/>
    <w:uiPriority w:val="99"/>
    <w:qFormat/>
    <w:rsid w:val="00B23745"/>
    <w:rPr>
      <w:rFonts w:ascii="宋体" w:eastAsia="宋体" w:hAnsi="Courier New" w:cs="Times New Roman"/>
      <w:szCs w:val="20"/>
    </w:rPr>
  </w:style>
  <w:style w:type="paragraph" w:styleId="a9">
    <w:name w:val="Normal (Web)"/>
    <w:basedOn w:val="a"/>
    <w:link w:val="Char4"/>
    <w:uiPriority w:val="99"/>
    <w:qFormat/>
    <w:rsid w:val="00B23745"/>
    <w:pPr>
      <w:spacing w:before="100" w:beforeAutospacing="1" w:after="100" w:afterAutospacing="1"/>
    </w:pPr>
    <w:rPr>
      <w:rFonts w:ascii="Arial" w:hAnsi="Arial" w:cs="Arial"/>
      <w:color w:val="000000"/>
      <w:sz w:val="18"/>
      <w:szCs w:val="18"/>
    </w:rPr>
  </w:style>
  <w:style w:type="character" w:customStyle="1" w:styleId="Char4">
    <w:name w:val="普通(网站) Char"/>
    <w:link w:val="a9"/>
    <w:uiPriority w:val="99"/>
    <w:rsid w:val="00B23745"/>
    <w:rPr>
      <w:rFonts w:ascii="Arial" w:eastAsia="宋体" w:hAnsi="Arial" w:cs="Arial"/>
      <w:color w:val="000000"/>
      <w:kern w:val="0"/>
      <w:sz w:val="18"/>
      <w:szCs w:val="18"/>
    </w:rPr>
  </w:style>
  <w:style w:type="paragraph" w:customStyle="1" w:styleId="BodyText1I2">
    <w:name w:val="BodyText1I2"/>
    <w:basedOn w:val="a"/>
    <w:qFormat/>
    <w:rsid w:val="00B23745"/>
    <w:pPr>
      <w:spacing w:after="120"/>
      <w:ind w:leftChars="200" w:left="420" w:firstLineChars="200" w:firstLine="420"/>
      <w:textAlignment w:val="baseline"/>
    </w:pPr>
    <w:rPr>
      <w:rFonts w:ascii="Times New Roman" w:hAnsi="Times New Roman" w:cs="Times New Roman"/>
      <w:color w:val="000000"/>
      <w:sz w:val="21"/>
      <w:szCs w:val="20"/>
    </w:rPr>
  </w:style>
  <w:style w:type="paragraph" w:styleId="a0">
    <w:name w:val="Body Text First Indent"/>
    <w:basedOn w:val="a6"/>
    <w:link w:val="Char5"/>
    <w:uiPriority w:val="99"/>
    <w:semiHidden/>
    <w:unhideWhenUsed/>
    <w:rsid w:val="00B23745"/>
    <w:pPr>
      <w:spacing w:after="120"/>
      <w:ind w:firstLineChars="100" w:firstLine="420"/>
    </w:pPr>
    <w:rPr>
      <w:rFonts w:ascii="宋体" w:hAnsi="宋体" w:cs="宋体"/>
      <w:bCs w:val="0"/>
      <w:kern w:val="0"/>
    </w:rPr>
  </w:style>
  <w:style w:type="character" w:customStyle="1" w:styleId="Char5">
    <w:name w:val="正文首行缩进 Char"/>
    <w:basedOn w:val="Char1"/>
    <w:link w:val="a0"/>
    <w:uiPriority w:val="99"/>
    <w:semiHidden/>
    <w:rsid w:val="00B23745"/>
    <w:rPr>
      <w:rFonts w:ascii="Arial" w:eastAsia="宋体" w:hAnsi="Arial"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3745"/>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23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3745"/>
    <w:rPr>
      <w:sz w:val="18"/>
      <w:szCs w:val="18"/>
    </w:rPr>
  </w:style>
  <w:style w:type="paragraph" w:styleId="a5">
    <w:name w:val="footer"/>
    <w:basedOn w:val="a"/>
    <w:link w:val="Char0"/>
    <w:uiPriority w:val="99"/>
    <w:unhideWhenUsed/>
    <w:rsid w:val="00B23745"/>
    <w:pPr>
      <w:tabs>
        <w:tab w:val="center" w:pos="4153"/>
        <w:tab w:val="right" w:pos="8306"/>
      </w:tabs>
      <w:snapToGrid w:val="0"/>
    </w:pPr>
    <w:rPr>
      <w:sz w:val="18"/>
      <w:szCs w:val="18"/>
    </w:rPr>
  </w:style>
  <w:style w:type="character" w:customStyle="1" w:styleId="Char0">
    <w:name w:val="页脚 Char"/>
    <w:basedOn w:val="a1"/>
    <w:link w:val="a5"/>
    <w:uiPriority w:val="99"/>
    <w:rsid w:val="00B23745"/>
    <w:rPr>
      <w:sz w:val="18"/>
      <w:szCs w:val="18"/>
    </w:rPr>
  </w:style>
  <w:style w:type="paragraph" w:styleId="a6">
    <w:name w:val="Body Text"/>
    <w:basedOn w:val="a"/>
    <w:next w:val="a0"/>
    <w:link w:val="Char1"/>
    <w:qFormat/>
    <w:rsid w:val="00B23745"/>
    <w:rPr>
      <w:rFonts w:ascii="Arial" w:hAnsi="Arial" w:cs="Times New Roman"/>
      <w:bCs/>
      <w:kern w:val="2"/>
    </w:rPr>
  </w:style>
  <w:style w:type="character" w:customStyle="1" w:styleId="Char1">
    <w:name w:val="正文文本 Char"/>
    <w:basedOn w:val="a1"/>
    <w:link w:val="a6"/>
    <w:qFormat/>
    <w:rsid w:val="00B23745"/>
    <w:rPr>
      <w:rFonts w:ascii="Arial" w:eastAsia="宋体" w:hAnsi="Arial" w:cs="Times New Roman"/>
      <w:bCs/>
      <w:sz w:val="24"/>
      <w:szCs w:val="24"/>
    </w:rPr>
  </w:style>
  <w:style w:type="paragraph" w:styleId="a7">
    <w:name w:val="Body Text Indent"/>
    <w:basedOn w:val="a"/>
    <w:next w:val="a"/>
    <w:link w:val="Char2"/>
    <w:qFormat/>
    <w:rsid w:val="00B23745"/>
    <w:pPr>
      <w:spacing w:after="120"/>
      <w:ind w:leftChars="200" w:left="420"/>
    </w:pPr>
    <w:rPr>
      <w:rFonts w:ascii="Times New Roman" w:hAnsi="Times New Roman" w:cs="Times New Roman"/>
      <w:kern w:val="2"/>
      <w:sz w:val="21"/>
    </w:rPr>
  </w:style>
  <w:style w:type="character" w:customStyle="1" w:styleId="Char2">
    <w:name w:val="正文文本缩进 Char"/>
    <w:basedOn w:val="a1"/>
    <w:link w:val="a7"/>
    <w:qFormat/>
    <w:rsid w:val="00B23745"/>
    <w:rPr>
      <w:rFonts w:ascii="Times New Roman" w:eastAsia="宋体" w:hAnsi="Times New Roman" w:cs="Times New Roman"/>
      <w:szCs w:val="24"/>
    </w:rPr>
  </w:style>
  <w:style w:type="paragraph" w:styleId="a8">
    <w:name w:val="Plain Text"/>
    <w:basedOn w:val="a"/>
    <w:link w:val="Char3"/>
    <w:uiPriority w:val="99"/>
    <w:qFormat/>
    <w:rsid w:val="00B23745"/>
    <w:rPr>
      <w:rFonts w:hAnsi="Courier New" w:cs="Times New Roman"/>
      <w:kern w:val="2"/>
      <w:sz w:val="21"/>
      <w:szCs w:val="20"/>
    </w:rPr>
  </w:style>
  <w:style w:type="character" w:customStyle="1" w:styleId="Char3">
    <w:name w:val="纯文本 Char"/>
    <w:basedOn w:val="a1"/>
    <w:link w:val="a8"/>
    <w:uiPriority w:val="99"/>
    <w:qFormat/>
    <w:rsid w:val="00B23745"/>
    <w:rPr>
      <w:rFonts w:ascii="宋体" w:eastAsia="宋体" w:hAnsi="Courier New" w:cs="Times New Roman"/>
      <w:szCs w:val="20"/>
    </w:rPr>
  </w:style>
  <w:style w:type="paragraph" w:styleId="a9">
    <w:name w:val="Normal (Web)"/>
    <w:basedOn w:val="a"/>
    <w:link w:val="Char4"/>
    <w:uiPriority w:val="99"/>
    <w:qFormat/>
    <w:rsid w:val="00B23745"/>
    <w:pPr>
      <w:spacing w:before="100" w:beforeAutospacing="1" w:after="100" w:afterAutospacing="1"/>
    </w:pPr>
    <w:rPr>
      <w:rFonts w:ascii="Arial" w:hAnsi="Arial" w:cs="Arial"/>
      <w:color w:val="000000"/>
      <w:sz w:val="18"/>
      <w:szCs w:val="18"/>
    </w:rPr>
  </w:style>
  <w:style w:type="character" w:customStyle="1" w:styleId="Char4">
    <w:name w:val="普通(网站) Char"/>
    <w:link w:val="a9"/>
    <w:uiPriority w:val="99"/>
    <w:rsid w:val="00B23745"/>
    <w:rPr>
      <w:rFonts w:ascii="Arial" w:eastAsia="宋体" w:hAnsi="Arial" w:cs="Arial"/>
      <w:color w:val="000000"/>
      <w:kern w:val="0"/>
      <w:sz w:val="18"/>
      <w:szCs w:val="18"/>
    </w:rPr>
  </w:style>
  <w:style w:type="paragraph" w:customStyle="1" w:styleId="BodyText1I2">
    <w:name w:val="BodyText1I2"/>
    <w:basedOn w:val="a"/>
    <w:qFormat/>
    <w:rsid w:val="00B23745"/>
    <w:pPr>
      <w:spacing w:after="120"/>
      <w:ind w:leftChars="200" w:left="420" w:firstLineChars="200" w:firstLine="420"/>
      <w:textAlignment w:val="baseline"/>
    </w:pPr>
    <w:rPr>
      <w:rFonts w:ascii="Times New Roman" w:hAnsi="Times New Roman" w:cs="Times New Roman"/>
      <w:color w:val="000000"/>
      <w:sz w:val="21"/>
      <w:szCs w:val="20"/>
    </w:rPr>
  </w:style>
  <w:style w:type="paragraph" w:styleId="a0">
    <w:name w:val="Body Text First Indent"/>
    <w:basedOn w:val="a6"/>
    <w:link w:val="Char5"/>
    <w:uiPriority w:val="99"/>
    <w:semiHidden/>
    <w:unhideWhenUsed/>
    <w:rsid w:val="00B23745"/>
    <w:pPr>
      <w:spacing w:after="120"/>
      <w:ind w:firstLineChars="100" w:firstLine="420"/>
    </w:pPr>
    <w:rPr>
      <w:rFonts w:ascii="宋体" w:hAnsi="宋体" w:cs="宋体"/>
      <w:bCs w:val="0"/>
      <w:kern w:val="0"/>
    </w:rPr>
  </w:style>
  <w:style w:type="character" w:customStyle="1" w:styleId="Char5">
    <w:name w:val="正文首行缩进 Char"/>
    <w:basedOn w:val="Char1"/>
    <w:link w:val="a0"/>
    <w:uiPriority w:val="99"/>
    <w:semiHidden/>
    <w:rsid w:val="00B23745"/>
    <w:rPr>
      <w:rFonts w:ascii="Arial" w:eastAsia="宋体" w:hAnsi="Arial"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2720</Characters>
  <Application>Microsoft Office Word</Application>
  <DocSecurity>0</DocSecurity>
  <Lines>22</Lines>
  <Paragraphs>6</Paragraphs>
  <ScaleCrop>false</ScaleCrop>
  <Company>china</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2023-09-27T06:54:00Z</dcterms:created>
  <dcterms:modified xsi:type="dcterms:W3CDTF">2023-09-27T06:54:00Z</dcterms:modified>
</cp:coreProperties>
</file>